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340"/>
        </w:tabs>
        <w:spacing w:line="480" w:lineRule="auto"/>
        <w:rPr>
          <w:rFonts w:hint="eastAsia" w:ascii="黑体" w:hAnsi="黑体" w:eastAsia="黑体"/>
          <w:b/>
          <w:bCs/>
          <w:sz w:val="32"/>
        </w:rPr>
      </w:pPr>
      <w:bookmarkStart w:id="0" w:name="_Toc356204538"/>
      <w:bookmarkStart w:id="1" w:name="_Toc357082526"/>
    </w:p>
    <w:p>
      <w:pPr>
        <w:jc w:val="center"/>
        <w:rPr>
          <w:rFonts w:ascii="宋体" w:hAnsi="宋体"/>
          <w:b/>
          <w:color w:val="000000"/>
          <w:sz w:val="36"/>
          <w:szCs w:val="36"/>
        </w:rPr>
      </w:pPr>
      <w:bookmarkStart w:id="2" w:name="_Toc152042554"/>
      <w:bookmarkStart w:id="3" w:name="_Toc357086141"/>
      <w:bookmarkStart w:id="4" w:name="_Toc152045772"/>
      <w:bookmarkStart w:id="5" w:name="_Toc144974834"/>
      <w:r>
        <w:rPr>
          <w:rFonts w:hint="eastAsia" w:ascii="宋体" w:hAnsi="宋体"/>
          <w:b/>
          <w:color w:val="000000"/>
          <w:sz w:val="36"/>
          <w:szCs w:val="36"/>
        </w:rPr>
        <w:t>设备购置技术标书审批表</w:t>
      </w:r>
    </w:p>
    <w:p>
      <w:pPr>
        <w:wordWrap w:val="0"/>
        <w:ind w:right="150"/>
        <w:jc w:val="right"/>
        <w:rPr>
          <w:rFonts w:ascii="宋体" w:hAnsi="宋体"/>
          <w:color w:val="000000"/>
          <w:sz w:val="32"/>
          <w:szCs w:val="32"/>
        </w:rPr>
      </w:pPr>
      <w:r>
        <w:rPr>
          <w:rFonts w:hint="eastAsia" w:ascii="宋体" w:hAnsi="宋体"/>
          <w:color w:val="000000"/>
          <w:sz w:val="32"/>
          <w:szCs w:val="32"/>
        </w:rPr>
        <w:t xml:space="preserve">  201</w:t>
      </w:r>
      <w:r>
        <w:rPr>
          <w:rFonts w:hint="eastAsia" w:ascii="宋体" w:hAnsi="宋体"/>
          <w:color w:val="000000"/>
          <w:sz w:val="32"/>
          <w:szCs w:val="32"/>
          <w:lang w:val="en-US" w:eastAsia="zh-CN"/>
        </w:rPr>
        <w:t>7</w:t>
      </w:r>
      <w:r>
        <w:rPr>
          <w:rFonts w:hint="eastAsia" w:ascii="宋体" w:hAnsi="宋体"/>
          <w:color w:val="000000"/>
          <w:sz w:val="32"/>
          <w:szCs w:val="32"/>
        </w:rPr>
        <w:t>年</w:t>
      </w:r>
      <w:r>
        <w:rPr>
          <w:rFonts w:hint="eastAsia" w:ascii="宋体" w:hAnsi="宋体"/>
          <w:color w:val="000000"/>
          <w:sz w:val="32"/>
          <w:szCs w:val="32"/>
          <w:lang w:val="en-US" w:eastAsia="zh-CN"/>
        </w:rPr>
        <w:t>8</w:t>
      </w:r>
      <w:r>
        <w:rPr>
          <w:rFonts w:hint="eastAsia" w:ascii="宋体" w:hAnsi="宋体"/>
          <w:color w:val="000000"/>
          <w:sz w:val="32"/>
          <w:szCs w:val="32"/>
        </w:rPr>
        <w:t>月</w:t>
      </w:r>
      <w:r>
        <w:rPr>
          <w:rFonts w:hint="eastAsia" w:ascii="宋体" w:hAnsi="宋体"/>
          <w:color w:val="000000"/>
          <w:sz w:val="32"/>
          <w:szCs w:val="32"/>
          <w:lang w:val="en-US" w:eastAsia="zh-CN"/>
        </w:rPr>
        <w:t>29</w:t>
      </w:r>
      <w:r>
        <w:rPr>
          <w:rFonts w:hint="eastAsia" w:ascii="宋体" w:hAnsi="宋体"/>
          <w:color w:val="000000"/>
          <w:sz w:val="32"/>
          <w:szCs w:val="32"/>
        </w:rPr>
        <w:t>日</w:t>
      </w:r>
    </w:p>
    <w:tbl>
      <w:tblPr>
        <w:tblStyle w:val="17"/>
        <w:tblW w:w="956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5"/>
        <w:gridCol w:w="1129"/>
        <w:gridCol w:w="3067"/>
        <w:gridCol w:w="1990"/>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56" w:hRule="atLeast"/>
          <w:jc w:val="center"/>
        </w:trPr>
        <w:tc>
          <w:tcPr>
            <w:tcW w:w="2184" w:type="dxa"/>
            <w:gridSpan w:val="2"/>
            <w:vAlign w:val="center"/>
          </w:tcPr>
          <w:p>
            <w:pPr>
              <w:jc w:val="center"/>
              <w:rPr>
                <w:rFonts w:ascii="宋体" w:hAnsi="宋体"/>
                <w:color w:val="000000"/>
                <w:sz w:val="24"/>
              </w:rPr>
            </w:pPr>
            <w:r>
              <w:rPr>
                <w:rFonts w:hint="eastAsia" w:ascii="宋体" w:hAnsi="宋体"/>
                <w:color w:val="000000"/>
                <w:sz w:val="24"/>
              </w:rPr>
              <w:t>设备名称</w:t>
            </w:r>
          </w:p>
        </w:tc>
        <w:tc>
          <w:tcPr>
            <w:tcW w:w="3067" w:type="dxa"/>
            <w:vAlign w:val="center"/>
          </w:tcPr>
          <w:p>
            <w:pPr>
              <w:jc w:val="center"/>
              <w:rPr>
                <w:rFonts w:hint="eastAsia" w:ascii="宋体" w:hAnsi="宋体" w:eastAsia="宋体"/>
                <w:color w:val="000000"/>
                <w:sz w:val="24"/>
                <w:lang w:val="en-US" w:eastAsia="zh-CN"/>
              </w:rPr>
            </w:pPr>
            <w:r>
              <w:rPr>
                <w:rFonts w:hint="eastAsia" w:ascii="宋体" w:hAnsi="宋体"/>
                <w:color w:val="000000"/>
                <w:sz w:val="24"/>
                <w:highlight w:val="none"/>
                <w:lang w:val="en-US" w:eastAsia="zh-CN"/>
              </w:rPr>
              <w:t>出入口管理系统</w:t>
            </w:r>
          </w:p>
        </w:tc>
        <w:tc>
          <w:tcPr>
            <w:tcW w:w="1990" w:type="dxa"/>
            <w:vAlign w:val="center"/>
          </w:tcPr>
          <w:p>
            <w:pPr>
              <w:ind w:right="480"/>
              <w:jc w:val="center"/>
              <w:rPr>
                <w:rFonts w:ascii="宋体" w:hAnsi="宋体"/>
                <w:color w:val="000000"/>
                <w:sz w:val="24"/>
              </w:rPr>
            </w:pPr>
            <w:r>
              <w:rPr>
                <w:rFonts w:hint="eastAsia" w:ascii="宋体" w:hAnsi="宋体"/>
                <w:color w:val="000000"/>
                <w:sz w:val="24"/>
              </w:rPr>
              <w:t>购置数量</w:t>
            </w:r>
          </w:p>
        </w:tc>
        <w:tc>
          <w:tcPr>
            <w:tcW w:w="2322" w:type="dxa"/>
            <w:vAlign w:val="center"/>
          </w:tcPr>
          <w:p>
            <w:pPr>
              <w:ind w:firstLine="360" w:firstLineChars="150"/>
              <w:rPr>
                <w:rFonts w:ascii="宋体" w:hAnsi="宋体"/>
                <w:color w:val="000000"/>
                <w:sz w:val="24"/>
              </w:rPr>
            </w:pPr>
            <w:r>
              <w:rPr>
                <w:rFonts w:hint="eastAsia" w:ascii="宋体" w:hAnsi="宋体"/>
                <w:color w:val="000000"/>
                <w:sz w:val="24"/>
                <w:lang w:val="en-US" w:eastAsia="zh-CN"/>
              </w:rPr>
              <w:t>1</w:t>
            </w:r>
            <w:r>
              <w:rPr>
                <w:rFonts w:hint="eastAsia" w:ascii="宋体" w:hAnsi="宋体"/>
                <w:color w:val="000000"/>
                <w:sz w:val="24"/>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5" w:hRule="atLeast"/>
          <w:jc w:val="center"/>
        </w:trPr>
        <w:tc>
          <w:tcPr>
            <w:tcW w:w="2184" w:type="dxa"/>
            <w:gridSpan w:val="2"/>
            <w:vAlign w:val="center"/>
          </w:tcPr>
          <w:p>
            <w:pPr>
              <w:jc w:val="center"/>
              <w:rPr>
                <w:rFonts w:ascii="宋体" w:hAnsi="宋体"/>
                <w:color w:val="000000"/>
                <w:sz w:val="24"/>
              </w:rPr>
            </w:pPr>
            <w:r>
              <w:rPr>
                <w:rFonts w:hint="eastAsia" w:ascii="宋体" w:hAnsi="宋体"/>
                <w:color w:val="000000"/>
                <w:sz w:val="24"/>
              </w:rPr>
              <w:t>计划来源</w:t>
            </w:r>
          </w:p>
        </w:tc>
        <w:tc>
          <w:tcPr>
            <w:tcW w:w="7379" w:type="dxa"/>
            <w:gridSpan w:val="3"/>
            <w:vAlign w:val="center"/>
          </w:tcPr>
          <w:p>
            <w:pPr>
              <w:jc w:val="center"/>
              <w:rPr>
                <w:rFonts w:hint="eastAsia" w:ascii="宋体" w:hAnsi="宋体" w:eastAsia="宋体"/>
                <w:color w:val="000000"/>
                <w:sz w:val="24"/>
                <w:lang w:val="en-US" w:eastAsia="zh-CN"/>
              </w:rPr>
            </w:pPr>
            <w:r>
              <w:rPr>
                <w:rFonts w:hint="eastAsia" w:ascii="宋体" w:hAnsi="宋体"/>
                <w:color w:val="000000"/>
                <w:sz w:val="24"/>
                <w:lang w:val="en-US" w:eastAsia="zh-CN"/>
              </w:rPr>
              <w:t>生产成本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85" w:hRule="atLeast"/>
          <w:jc w:val="center"/>
        </w:trPr>
        <w:tc>
          <w:tcPr>
            <w:tcW w:w="2184" w:type="dxa"/>
            <w:gridSpan w:val="2"/>
            <w:vAlign w:val="center"/>
          </w:tcPr>
          <w:p>
            <w:pPr>
              <w:jc w:val="center"/>
              <w:rPr>
                <w:rFonts w:ascii="宋体" w:hAnsi="宋体"/>
                <w:color w:val="000000"/>
                <w:sz w:val="24"/>
              </w:rPr>
            </w:pPr>
            <w:r>
              <w:rPr>
                <w:rFonts w:hint="eastAsia" w:ascii="宋体" w:hAnsi="宋体"/>
                <w:color w:val="000000"/>
                <w:sz w:val="24"/>
              </w:rPr>
              <w:t>主要技术参数</w:t>
            </w:r>
          </w:p>
        </w:tc>
        <w:tc>
          <w:tcPr>
            <w:tcW w:w="7379" w:type="dxa"/>
            <w:gridSpan w:val="3"/>
            <w:vAlign w:val="center"/>
          </w:tcPr>
          <w:p>
            <w:pPr>
              <w:pStyle w:val="22"/>
              <w:tabs>
                <w:tab w:val="left" w:pos="550"/>
              </w:tabs>
              <w:adjustRightInd w:val="0"/>
              <w:snapToGrid w:val="0"/>
              <w:spacing w:line="360" w:lineRule="auto"/>
              <w:ind w:left="546" w:leftChars="200" w:hanging="126" w:hangingChars="60"/>
              <w:rPr>
                <w:rFonts w:hint="eastAsia" w:ascii="Tahoma" w:hAnsi="Tahoma" w:cs="Tahoma"/>
                <w:color w:val="000000"/>
                <w:sz w:val="21"/>
                <w:szCs w:val="21"/>
              </w:rPr>
            </w:pPr>
            <w:r>
              <w:rPr>
                <w:rFonts w:ascii="Tahoma" w:hAnsi="Tahoma" w:cs="Tahoma"/>
                <w:color w:val="000000"/>
                <w:sz w:val="21"/>
                <w:szCs w:val="21"/>
              </w:rPr>
              <w:t>1.</w:t>
            </w:r>
            <w:r>
              <w:rPr>
                <w:rFonts w:hint="eastAsia" w:ascii="Tahoma" w:hAnsi="Tahoma" w:cs="Tahoma"/>
                <w:color w:val="000000"/>
                <w:sz w:val="21"/>
                <w:szCs w:val="21"/>
              </w:rPr>
              <w:t>1</w:t>
            </w:r>
            <w:r>
              <w:rPr>
                <w:rFonts w:hint="eastAsia" w:ascii="Tahoma" w:hAnsi="Tahoma" w:cs="Tahoma"/>
                <w:color w:val="000000"/>
                <w:sz w:val="21"/>
                <w:szCs w:val="21"/>
                <w:lang w:val="en-US" w:eastAsia="zh-CN"/>
              </w:rPr>
              <w:t>翼闸外形尺寸</w:t>
            </w:r>
            <w:r>
              <w:rPr>
                <w:rFonts w:hint="eastAsia" w:ascii="Tahoma" w:hAnsi="Tahoma" w:cs="Tahoma"/>
                <w:color w:val="000000"/>
                <w:sz w:val="21"/>
                <w:szCs w:val="21"/>
              </w:rPr>
              <w:t>：不</w:t>
            </w:r>
            <w:r>
              <w:rPr>
                <w:rFonts w:hint="eastAsia" w:ascii="Tahoma" w:hAnsi="Tahoma" w:cs="Tahoma"/>
                <w:color w:val="000000"/>
                <w:sz w:val="21"/>
                <w:szCs w:val="21"/>
                <w:lang w:val="en-US" w:eastAsia="zh-CN"/>
              </w:rPr>
              <w:t>大</w:t>
            </w:r>
            <w:r>
              <w:rPr>
                <w:rFonts w:hint="eastAsia" w:ascii="Tahoma" w:hAnsi="Tahoma" w:cs="Tahoma"/>
                <w:color w:val="000000"/>
                <w:sz w:val="21"/>
                <w:szCs w:val="21"/>
              </w:rPr>
              <w:t>于1400×300×1050m</w:t>
            </w:r>
            <w:r>
              <w:rPr>
                <w:rFonts w:hint="eastAsia" w:ascii="Tahoma" w:hAnsi="Tahoma" w:cs="Tahoma"/>
                <w:color w:val="000000"/>
                <w:sz w:val="21"/>
                <w:szCs w:val="21"/>
                <w:lang w:val="en-US" w:eastAsia="zh-CN"/>
              </w:rPr>
              <w:t>m</w:t>
            </w:r>
            <w:r>
              <w:rPr>
                <w:rFonts w:hint="eastAsia" w:ascii="Tahoma" w:hAnsi="Tahoma" w:cs="Tahoma"/>
                <w:color w:val="000000"/>
                <w:sz w:val="21"/>
                <w:szCs w:val="21"/>
                <w:lang w:eastAsia="zh-CN"/>
              </w:rPr>
              <w:t>；</w:t>
            </w:r>
            <w:r>
              <w:rPr>
                <w:rFonts w:hint="eastAsia" w:ascii="Tahoma" w:hAnsi="Tahoma" w:cs="Tahoma"/>
                <w:color w:val="000000"/>
                <w:sz w:val="21"/>
                <w:szCs w:val="21"/>
                <w:lang w:val="en-US" w:eastAsia="zh-CN"/>
              </w:rPr>
              <w:t>板厚不小于1.5mm；激光平台整机长不小于1.4米；翼闸挡板厚度不小于20MM</w:t>
            </w:r>
          </w:p>
          <w:p>
            <w:pPr>
              <w:pStyle w:val="22"/>
              <w:tabs>
                <w:tab w:val="left" w:pos="550"/>
              </w:tabs>
              <w:adjustRightInd w:val="0"/>
              <w:snapToGrid w:val="0"/>
              <w:spacing w:line="360" w:lineRule="auto"/>
              <w:ind w:left="546" w:leftChars="200" w:hanging="126" w:hangingChars="60"/>
              <w:rPr>
                <w:rFonts w:hint="eastAsia" w:ascii="Tahoma" w:hAnsi="Tahoma" w:cs="Tahoma"/>
                <w:color w:val="000000"/>
                <w:sz w:val="21"/>
                <w:szCs w:val="21"/>
                <w:lang w:val="en-US" w:eastAsia="zh-CN"/>
              </w:rPr>
            </w:pPr>
            <w:r>
              <w:rPr>
                <w:rFonts w:ascii="Tahoma" w:hAnsi="Tahoma" w:cs="Tahoma"/>
                <w:color w:val="000000"/>
                <w:sz w:val="21"/>
                <w:szCs w:val="21"/>
              </w:rPr>
              <w:t>1.</w:t>
            </w:r>
            <w:r>
              <w:rPr>
                <w:rFonts w:hint="eastAsia" w:ascii="Tahoma" w:hAnsi="Tahoma" w:cs="Tahoma"/>
                <w:color w:val="000000"/>
                <w:sz w:val="21"/>
                <w:szCs w:val="21"/>
              </w:rPr>
              <w:t>2</w:t>
            </w:r>
            <w:r>
              <w:rPr>
                <w:rFonts w:hint="eastAsia" w:ascii="Tahoma" w:hAnsi="Tahoma" w:cs="Tahoma"/>
                <w:color w:val="000000"/>
                <w:sz w:val="21"/>
                <w:szCs w:val="21"/>
                <w:lang w:val="en-US" w:eastAsia="zh-CN"/>
              </w:rPr>
              <w:t>翼闸材质</w:t>
            </w:r>
            <w:r>
              <w:rPr>
                <w:rFonts w:hint="eastAsia" w:ascii="Tahoma" w:hAnsi="Tahoma" w:cs="Tahoma"/>
                <w:color w:val="000000"/>
                <w:sz w:val="21"/>
                <w:szCs w:val="21"/>
              </w:rPr>
              <w:t>：不</w:t>
            </w:r>
            <w:r>
              <w:rPr>
                <w:rFonts w:hint="eastAsia" w:ascii="Tahoma" w:hAnsi="Tahoma" w:cs="Tahoma"/>
                <w:color w:val="000000"/>
                <w:sz w:val="21"/>
                <w:szCs w:val="21"/>
                <w:lang w:val="en-US" w:eastAsia="zh-CN"/>
              </w:rPr>
              <w:t>低于304不锈钢；</w:t>
            </w:r>
          </w:p>
          <w:p>
            <w:pPr>
              <w:pStyle w:val="22"/>
              <w:tabs>
                <w:tab w:val="left" w:pos="550"/>
              </w:tabs>
              <w:adjustRightInd w:val="0"/>
              <w:snapToGrid w:val="0"/>
              <w:spacing w:line="360" w:lineRule="auto"/>
              <w:ind w:left="546" w:leftChars="200" w:hanging="126" w:hangingChars="60"/>
              <w:rPr>
                <w:rFonts w:hint="eastAsia" w:ascii="Tahoma" w:hAnsi="Tahoma" w:cs="Tahoma"/>
                <w:color w:val="000000"/>
                <w:sz w:val="21"/>
                <w:szCs w:val="21"/>
              </w:rPr>
            </w:pPr>
            <w:r>
              <w:rPr>
                <w:rFonts w:hint="eastAsia" w:ascii="Tahoma" w:hAnsi="Tahoma" w:cs="Tahoma"/>
                <w:color w:val="000000"/>
                <w:sz w:val="21"/>
                <w:szCs w:val="21"/>
              </w:rPr>
              <w:t>1.</w:t>
            </w:r>
            <w:r>
              <w:rPr>
                <w:rFonts w:hint="eastAsia" w:ascii="Tahoma" w:hAnsi="Tahoma" w:cs="Tahoma"/>
                <w:color w:val="000000"/>
                <w:sz w:val="21"/>
                <w:szCs w:val="21"/>
                <w:lang w:val="en-US" w:eastAsia="zh-CN"/>
              </w:rPr>
              <w:t>3网络版闸机控制板</w:t>
            </w:r>
            <w:r>
              <w:rPr>
                <w:rFonts w:hint="eastAsia" w:ascii="Tahoma" w:hAnsi="Tahoma" w:cs="Tahoma"/>
                <w:color w:val="000000"/>
                <w:sz w:val="21"/>
                <w:szCs w:val="21"/>
              </w:rPr>
              <w:t>：</w:t>
            </w:r>
            <w:r>
              <w:rPr>
                <w:rFonts w:hint="eastAsia" w:ascii="Tahoma" w:hAnsi="Tahoma" w:cs="Tahoma"/>
                <w:color w:val="000000"/>
                <w:sz w:val="21"/>
                <w:szCs w:val="21"/>
                <w:lang w:val="en-US" w:eastAsia="zh-CN"/>
              </w:rPr>
              <w:t>支持用户数不小于3万；记录数不小于100万；每个门的开门时间设置不小于16组，每组可用选择不同的鉴别方式（鉴别方式由卡和密码两种）；传输性能直接集成不小于10M的TCP/IP通讯。</w:t>
            </w:r>
          </w:p>
          <w:p>
            <w:pPr>
              <w:pStyle w:val="22"/>
              <w:tabs>
                <w:tab w:val="left" w:pos="550"/>
              </w:tabs>
              <w:adjustRightInd w:val="0"/>
              <w:snapToGrid w:val="0"/>
              <w:spacing w:line="360" w:lineRule="auto"/>
              <w:ind w:left="546" w:leftChars="200" w:hanging="126" w:hangingChars="60"/>
              <w:rPr>
                <w:rFonts w:hint="eastAsia" w:ascii="Tahoma" w:hAnsi="Tahoma" w:cs="Tahoma"/>
                <w:color w:val="000000"/>
                <w:sz w:val="21"/>
                <w:szCs w:val="21"/>
                <w:lang w:val="en-US" w:eastAsia="zh-CN"/>
              </w:rPr>
            </w:pPr>
            <w:r>
              <w:rPr>
                <w:rFonts w:hint="eastAsia" w:ascii="Tahoma" w:hAnsi="Tahoma" w:cs="Tahoma"/>
                <w:color w:val="000000"/>
                <w:sz w:val="21"/>
                <w:szCs w:val="21"/>
              </w:rPr>
              <w:t>1.</w:t>
            </w:r>
            <w:r>
              <w:rPr>
                <w:rFonts w:hint="eastAsia" w:ascii="Tahoma" w:hAnsi="Tahoma" w:cs="Tahoma"/>
                <w:color w:val="000000"/>
                <w:sz w:val="21"/>
                <w:szCs w:val="21"/>
                <w:lang w:val="en-US" w:eastAsia="zh-CN"/>
              </w:rPr>
              <w:t>4多模激光扫描仪</w:t>
            </w:r>
            <w:r>
              <w:rPr>
                <w:rFonts w:hint="eastAsia" w:ascii="Tahoma" w:hAnsi="Tahoma" w:cs="Tahoma"/>
                <w:color w:val="000000"/>
                <w:sz w:val="21"/>
                <w:szCs w:val="21"/>
              </w:rPr>
              <w:t>：</w:t>
            </w:r>
            <w:r>
              <w:rPr>
                <w:rFonts w:hint="eastAsia" w:ascii="Tahoma" w:hAnsi="Tahoma" w:cs="Tahoma"/>
                <w:color w:val="000000"/>
                <w:sz w:val="21"/>
                <w:szCs w:val="21"/>
                <w:lang w:val="en-US" w:eastAsia="zh-CN"/>
              </w:rPr>
              <w:t>一次性至少扫描7个条码并可按所需顺序输出。</w:t>
            </w:r>
          </w:p>
          <w:p>
            <w:pPr>
              <w:pStyle w:val="22"/>
              <w:tabs>
                <w:tab w:val="left" w:pos="550"/>
              </w:tabs>
              <w:adjustRightInd w:val="0"/>
              <w:snapToGrid w:val="0"/>
              <w:spacing w:line="360" w:lineRule="auto"/>
              <w:ind w:left="546" w:leftChars="200" w:hanging="126" w:hangingChars="60"/>
              <w:rPr>
                <w:rFonts w:hint="eastAsia" w:ascii="Tahoma" w:hAnsi="Tahoma" w:cs="Tahoma"/>
                <w:color w:val="000000"/>
                <w:sz w:val="21"/>
                <w:szCs w:val="21"/>
                <w:lang w:val="en-US" w:eastAsia="zh-CN"/>
              </w:rPr>
            </w:pPr>
            <w:r>
              <w:rPr>
                <w:rFonts w:hint="eastAsia" w:ascii="Tahoma" w:hAnsi="Tahoma" w:cs="Tahoma"/>
                <w:color w:val="000000"/>
                <w:sz w:val="21"/>
                <w:szCs w:val="21"/>
              </w:rPr>
              <w:t>1.</w:t>
            </w:r>
            <w:r>
              <w:rPr>
                <w:rFonts w:hint="eastAsia" w:ascii="Tahoma" w:hAnsi="Tahoma" w:cs="Tahoma"/>
                <w:color w:val="000000"/>
                <w:sz w:val="21"/>
                <w:szCs w:val="21"/>
                <w:lang w:val="en-US" w:eastAsia="zh-CN"/>
              </w:rPr>
              <w:t>5电源：12V；6A。</w:t>
            </w:r>
          </w:p>
          <w:p>
            <w:pPr>
              <w:pStyle w:val="22"/>
              <w:tabs>
                <w:tab w:val="left" w:pos="550"/>
              </w:tabs>
              <w:adjustRightInd w:val="0"/>
              <w:snapToGrid w:val="0"/>
              <w:spacing w:line="360" w:lineRule="auto"/>
              <w:ind w:left="546" w:leftChars="200" w:hanging="126" w:hangingChars="60"/>
              <w:rPr>
                <w:rFonts w:hint="eastAsia" w:ascii="Tahoma" w:hAnsi="Tahoma" w:cs="Tahoma"/>
                <w:color w:val="000000"/>
                <w:sz w:val="21"/>
                <w:szCs w:val="21"/>
                <w:lang w:val="en-US" w:eastAsia="zh-CN"/>
              </w:rPr>
            </w:pPr>
            <w:r>
              <w:rPr>
                <w:rFonts w:hint="eastAsia" w:ascii="Tahoma" w:hAnsi="Tahoma" w:cs="Tahoma"/>
                <w:color w:val="000000"/>
                <w:sz w:val="21"/>
                <w:szCs w:val="21"/>
              </w:rPr>
              <w:t>1.</w:t>
            </w:r>
            <w:r>
              <w:rPr>
                <w:rFonts w:hint="eastAsia" w:ascii="Tahoma" w:hAnsi="Tahoma" w:cs="Tahoma"/>
                <w:color w:val="000000"/>
                <w:sz w:val="21"/>
                <w:szCs w:val="21"/>
                <w:lang w:val="en-US" w:eastAsia="zh-CN"/>
              </w:rPr>
              <w:t>6翼闸机使用寿命：不小于300万次。</w:t>
            </w:r>
          </w:p>
          <w:p>
            <w:pPr>
              <w:pStyle w:val="22"/>
              <w:tabs>
                <w:tab w:val="left" w:pos="550"/>
              </w:tabs>
              <w:adjustRightInd w:val="0"/>
              <w:snapToGrid w:val="0"/>
              <w:spacing w:line="360" w:lineRule="auto"/>
              <w:ind w:left="546" w:leftChars="200" w:hanging="126" w:hangingChars="60"/>
              <w:rPr>
                <w:rFonts w:ascii="宋体" w:hAnsi="宋体" w:cs="宋体"/>
                <w:color w:val="000000"/>
                <w:szCs w:val="21"/>
                <w:shd w:val="clear" w:color="auto" w:fill="FFFFFF"/>
              </w:rPr>
            </w:pPr>
            <w:r>
              <w:rPr>
                <w:rFonts w:hint="eastAsia" w:ascii="Tahoma" w:hAnsi="Tahoma" w:cs="Tahoma"/>
                <w:color w:val="000000"/>
                <w:sz w:val="21"/>
                <w:szCs w:val="21"/>
              </w:rPr>
              <w:t>1.</w:t>
            </w:r>
            <w:r>
              <w:rPr>
                <w:rFonts w:hint="eastAsia" w:ascii="Tahoma" w:hAnsi="Tahoma" w:cs="Tahoma"/>
                <w:color w:val="000000"/>
                <w:sz w:val="21"/>
                <w:szCs w:val="21"/>
                <w:lang w:val="en-US" w:eastAsia="zh-CN"/>
              </w:rPr>
              <w:t>7通信接口：RS485标准。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jc w:val="center"/>
        </w:trPr>
        <w:tc>
          <w:tcPr>
            <w:tcW w:w="2184" w:type="dxa"/>
            <w:gridSpan w:val="2"/>
            <w:vAlign w:val="center"/>
          </w:tcPr>
          <w:p>
            <w:pPr>
              <w:jc w:val="center"/>
              <w:rPr>
                <w:rFonts w:ascii="宋体" w:hAnsi="宋体"/>
                <w:color w:val="000000"/>
                <w:sz w:val="24"/>
              </w:rPr>
            </w:pPr>
            <w:r>
              <w:rPr>
                <w:rFonts w:hint="eastAsia" w:ascii="宋体" w:hAnsi="宋体"/>
                <w:color w:val="000000"/>
                <w:sz w:val="24"/>
              </w:rPr>
              <w:t>项目提报单位</w:t>
            </w:r>
          </w:p>
        </w:tc>
        <w:tc>
          <w:tcPr>
            <w:tcW w:w="7379" w:type="dxa"/>
            <w:gridSpan w:val="3"/>
            <w:vAlign w:val="center"/>
          </w:tcPr>
          <w:p>
            <w:pPr>
              <w:jc w:val="center"/>
              <w:rPr>
                <w:rFonts w:ascii="宋体" w:hAnsi="宋体"/>
                <w:color w:val="000000"/>
                <w:sz w:val="24"/>
              </w:rPr>
            </w:pPr>
            <w:r>
              <w:rPr>
                <w:rFonts w:hint="eastAsia" w:ascii="宋体" w:hAnsi="宋体"/>
                <w:color w:val="000000"/>
                <w:sz w:val="24"/>
              </w:rPr>
              <w:t>信息管理中心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482" w:hRule="atLeast"/>
          <w:jc w:val="center"/>
        </w:trPr>
        <w:tc>
          <w:tcPr>
            <w:tcW w:w="1055" w:type="dxa"/>
            <w:vMerge w:val="restart"/>
            <w:vAlign w:val="center"/>
          </w:tcPr>
          <w:p>
            <w:pPr>
              <w:jc w:val="center"/>
              <w:rPr>
                <w:rFonts w:ascii="宋体" w:hAnsi="宋体"/>
                <w:color w:val="000000"/>
                <w:sz w:val="24"/>
              </w:rPr>
            </w:pPr>
            <w:r>
              <w:rPr>
                <w:rFonts w:hint="eastAsia" w:ascii="宋体" w:hAnsi="宋体"/>
                <w:color w:val="000000"/>
                <w:sz w:val="24"/>
              </w:rPr>
              <w:t>信息管理中心</w:t>
            </w:r>
          </w:p>
        </w:tc>
        <w:tc>
          <w:tcPr>
            <w:tcW w:w="1129" w:type="dxa"/>
            <w:vAlign w:val="center"/>
          </w:tcPr>
          <w:p>
            <w:pPr>
              <w:jc w:val="center"/>
              <w:rPr>
                <w:rFonts w:ascii="宋体" w:hAnsi="宋体"/>
                <w:color w:val="000000"/>
                <w:sz w:val="24"/>
              </w:rPr>
            </w:pPr>
            <w:r>
              <w:rPr>
                <w:rFonts w:hint="eastAsia" w:ascii="宋体" w:hAnsi="宋体"/>
                <w:color w:val="000000"/>
                <w:sz w:val="24"/>
                <w:lang w:val="en-US" w:eastAsia="zh-CN"/>
              </w:rPr>
              <w:t>技术办</w:t>
            </w:r>
          </w:p>
        </w:tc>
        <w:tc>
          <w:tcPr>
            <w:tcW w:w="7379" w:type="dxa"/>
            <w:gridSpan w:val="3"/>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452" w:hRule="atLeast"/>
          <w:jc w:val="center"/>
        </w:trPr>
        <w:tc>
          <w:tcPr>
            <w:tcW w:w="1055" w:type="dxa"/>
            <w:vMerge w:val="continue"/>
            <w:vAlign w:val="center"/>
          </w:tcPr>
          <w:p>
            <w:pPr>
              <w:jc w:val="center"/>
              <w:rPr>
                <w:rFonts w:ascii="宋体" w:hAnsi="宋体"/>
                <w:color w:val="000000"/>
                <w:sz w:val="24"/>
              </w:rPr>
            </w:pPr>
          </w:p>
        </w:tc>
        <w:tc>
          <w:tcPr>
            <w:tcW w:w="1129" w:type="dxa"/>
            <w:vAlign w:val="center"/>
          </w:tcPr>
          <w:p>
            <w:pPr>
              <w:jc w:val="center"/>
              <w:rPr>
                <w:rFonts w:ascii="宋体" w:hAnsi="宋体"/>
                <w:color w:val="000000"/>
                <w:sz w:val="24"/>
              </w:rPr>
            </w:pPr>
            <w:r>
              <w:rPr>
                <w:rFonts w:hint="eastAsia" w:ascii="宋体" w:hAnsi="宋体"/>
                <w:color w:val="000000"/>
                <w:sz w:val="24"/>
              </w:rPr>
              <w:t>分管领导</w:t>
            </w:r>
          </w:p>
        </w:tc>
        <w:tc>
          <w:tcPr>
            <w:tcW w:w="7379" w:type="dxa"/>
            <w:gridSpan w:val="3"/>
            <w:vAlign w:val="center"/>
          </w:tcPr>
          <w:p>
            <w:pPr>
              <w:jc w:val="center"/>
              <w:rPr>
                <w:rFonts w:ascii="宋体" w:hAnsi="宋体"/>
                <w:color w:val="000000"/>
                <w:sz w:val="24"/>
              </w:rPr>
            </w:pPr>
          </w:p>
        </w:tc>
      </w:tr>
      <w:bookmarkEnd w:id="2"/>
      <w:bookmarkEnd w:id="3"/>
      <w:bookmarkEnd w:id="4"/>
      <w:bookmarkEnd w:id="5"/>
    </w:tbl>
    <w:p>
      <w:pPr>
        <w:tabs>
          <w:tab w:val="left" w:pos="2340"/>
        </w:tabs>
        <w:spacing w:line="480" w:lineRule="auto"/>
        <w:ind w:left="630" w:leftChars="300" w:firstLine="321" w:firstLineChars="100"/>
        <w:rPr>
          <w:rFonts w:hint="eastAsia" w:ascii="黑体" w:hAnsi="黑体" w:eastAsia="黑体"/>
          <w:b/>
          <w:bCs/>
          <w:sz w:val="32"/>
        </w:rPr>
      </w:pPr>
    </w:p>
    <w:p>
      <w:pPr>
        <w:tabs>
          <w:tab w:val="left" w:pos="2340"/>
        </w:tabs>
        <w:spacing w:line="480" w:lineRule="auto"/>
        <w:ind w:left="630" w:leftChars="300" w:firstLine="321" w:firstLineChars="100"/>
        <w:rPr>
          <w:rFonts w:hint="eastAsia" w:ascii="黑体" w:hAnsi="黑体" w:eastAsia="黑体"/>
          <w:b/>
          <w:bCs/>
          <w:sz w:val="32"/>
        </w:rPr>
      </w:pPr>
    </w:p>
    <w:p>
      <w:pPr>
        <w:tabs>
          <w:tab w:val="left" w:pos="2340"/>
        </w:tabs>
        <w:spacing w:line="480" w:lineRule="auto"/>
        <w:ind w:left="630" w:leftChars="300" w:firstLine="321" w:firstLineChars="100"/>
        <w:jc w:val="center"/>
        <w:rPr>
          <w:rFonts w:ascii="黑体" w:hAnsi="黑体" w:eastAsia="黑体"/>
          <w:b/>
          <w:bCs/>
          <w:sz w:val="32"/>
        </w:rPr>
      </w:pPr>
      <w:r>
        <w:rPr>
          <w:rFonts w:hint="eastAsia" w:ascii="黑体" w:hAnsi="黑体" w:eastAsia="黑体"/>
          <w:b/>
          <w:bCs/>
          <w:color w:val="auto"/>
          <w:sz w:val="32"/>
          <w:highlight w:val="none"/>
          <w:lang w:val="en-US" w:eastAsia="zh-CN"/>
        </w:rPr>
        <w:t>出入口管理系统</w:t>
      </w:r>
      <w:r>
        <w:rPr>
          <w:rFonts w:hint="eastAsia" w:ascii="黑体" w:hAnsi="黑体" w:eastAsia="黑体"/>
          <w:b/>
          <w:bCs/>
          <w:sz w:val="32"/>
        </w:rPr>
        <w:t>技术要求</w:t>
      </w:r>
    </w:p>
    <w:p>
      <w:pPr>
        <w:tabs>
          <w:tab w:val="left" w:pos="2340"/>
        </w:tabs>
        <w:spacing w:line="480" w:lineRule="auto"/>
        <w:jc w:val="center"/>
        <w:rPr>
          <w:rFonts w:hint="eastAsia" w:ascii="黑体" w:hAnsi="黑体" w:eastAsia="黑体"/>
          <w:b/>
          <w:bCs/>
          <w:sz w:val="32"/>
        </w:rPr>
      </w:pPr>
    </w:p>
    <w:p>
      <w:pPr>
        <w:tabs>
          <w:tab w:val="left" w:pos="2340"/>
        </w:tabs>
        <w:spacing w:line="480" w:lineRule="auto"/>
        <w:ind w:left="630" w:leftChars="300" w:firstLine="240" w:firstLineChars="100"/>
        <w:jc w:val="left"/>
        <w:rPr>
          <w:rFonts w:ascii="宋体"/>
          <w:sz w:val="24"/>
        </w:rPr>
      </w:pPr>
      <w:r>
        <w:rPr>
          <w:rFonts w:hint="eastAsia" w:ascii="宋体"/>
          <w:sz w:val="24"/>
        </w:rPr>
        <w:t>第一节  供货范围、技术规格、参数与要求</w:t>
      </w:r>
    </w:p>
    <w:p>
      <w:pPr>
        <w:tabs>
          <w:tab w:val="left" w:pos="2340"/>
        </w:tabs>
        <w:spacing w:line="480" w:lineRule="auto"/>
        <w:ind w:left="630" w:leftChars="300" w:firstLine="240" w:firstLineChars="100"/>
        <w:jc w:val="left"/>
        <w:rPr>
          <w:rFonts w:ascii="宋体"/>
          <w:sz w:val="24"/>
        </w:rPr>
      </w:pPr>
      <w:r>
        <w:rPr>
          <w:rFonts w:hint="eastAsia" w:ascii="宋体"/>
          <w:sz w:val="24"/>
        </w:rPr>
        <w:t>第二节  备件和工具</w:t>
      </w:r>
    </w:p>
    <w:p>
      <w:pPr>
        <w:tabs>
          <w:tab w:val="left" w:pos="2340"/>
        </w:tabs>
        <w:spacing w:line="480" w:lineRule="auto"/>
        <w:ind w:left="630" w:leftChars="300" w:firstLine="240" w:firstLineChars="100"/>
        <w:jc w:val="left"/>
        <w:rPr>
          <w:rFonts w:ascii="宋体"/>
          <w:sz w:val="24"/>
        </w:rPr>
      </w:pPr>
      <w:r>
        <w:rPr>
          <w:rFonts w:hint="eastAsia" w:ascii="宋体"/>
          <w:sz w:val="24"/>
        </w:rPr>
        <w:t>第三节  设备出厂前检验</w:t>
      </w:r>
    </w:p>
    <w:p>
      <w:pPr>
        <w:tabs>
          <w:tab w:val="left" w:pos="2340"/>
        </w:tabs>
        <w:spacing w:line="480" w:lineRule="auto"/>
        <w:ind w:left="630" w:leftChars="300" w:firstLine="240" w:firstLineChars="100"/>
        <w:jc w:val="left"/>
        <w:rPr>
          <w:rFonts w:ascii="宋体"/>
          <w:sz w:val="24"/>
        </w:rPr>
      </w:pPr>
      <w:r>
        <w:rPr>
          <w:rFonts w:hint="eastAsia" w:ascii="宋体"/>
          <w:sz w:val="24"/>
        </w:rPr>
        <w:t>第四节  技术服务</w:t>
      </w:r>
    </w:p>
    <w:p>
      <w:pPr>
        <w:tabs>
          <w:tab w:val="left" w:pos="2340"/>
        </w:tabs>
        <w:spacing w:line="480" w:lineRule="auto"/>
        <w:ind w:left="630" w:leftChars="300" w:firstLine="240" w:firstLineChars="100"/>
        <w:jc w:val="left"/>
        <w:rPr>
          <w:rFonts w:ascii="宋体"/>
          <w:sz w:val="24"/>
        </w:rPr>
      </w:pPr>
      <w:r>
        <w:rPr>
          <w:rFonts w:hint="eastAsia" w:ascii="宋体"/>
          <w:sz w:val="24"/>
        </w:rPr>
        <w:t>第五节  安装、检验、调试、试运行及验收</w:t>
      </w:r>
    </w:p>
    <w:p>
      <w:pPr>
        <w:tabs>
          <w:tab w:val="left" w:pos="2340"/>
        </w:tabs>
        <w:spacing w:line="480" w:lineRule="auto"/>
        <w:ind w:left="630" w:leftChars="300" w:firstLine="240" w:firstLineChars="100"/>
        <w:jc w:val="left"/>
        <w:rPr>
          <w:rFonts w:ascii="宋体"/>
          <w:sz w:val="24"/>
        </w:rPr>
      </w:pPr>
      <w:r>
        <w:rPr>
          <w:rFonts w:hint="eastAsia" w:ascii="宋体"/>
          <w:sz w:val="24"/>
        </w:rPr>
        <w:t>第六节  质量保证</w:t>
      </w:r>
    </w:p>
    <w:p>
      <w:pPr>
        <w:tabs>
          <w:tab w:val="left" w:pos="2340"/>
        </w:tabs>
        <w:spacing w:line="480" w:lineRule="auto"/>
        <w:ind w:left="630" w:leftChars="300" w:firstLine="240" w:firstLineChars="100"/>
        <w:jc w:val="left"/>
        <w:rPr>
          <w:rFonts w:ascii="宋体"/>
          <w:sz w:val="24"/>
        </w:rPr>
      </w:pPr>
      <w:r>
        <w:rPr>
          <w:rFonts w:hint="eastAsia" w:ascii="宋体"/>
          <w:sz w:val="24"/>
        </w:rPr>
        <w:t>第七节  技术资料和图纸</w:t>
      </w:r>
    </w:p>
    <w:p>
      <w:pPr>
        <w:tabs>
          <w:tab w:val="left" w:pos="2340"/>
        </w:tabs>
        <w:spacing w:line="480" w:lineRule="auto"/>
        <w:jc w:val="center"/>
        <w:rPr>
          <w:rFonts w:hint="eastAsia" w:ascii="黑体" w:hAnsi="黑体" w:eastAsia="黑体"/>
          <w:b/>
          <w:bCs/>
          <w:sz w:val="32"/>
        </w:rPr>
      </w:pPr>
    </w:p>
    <w:p>
      <w:pPr>
        <w:tabs>
          <w:tab w:val="left" w:pos="2340"/>
        </w:tabs>
        <w:spacing w:line="480" w:lineRule="auto"/>
        <w:jc w:val="center"/>
        <w:rPr>
          <w:rFonts w:hint="eastAsia" w:ascii="黑体" w:hAnsi="黑体" w:eastAsia="黑体"/>
          <w:b/>
          <w:bCs/>
          <w:sz w:val="32"/>
        </w:rPr>
      </w:pPr>
    </w:p>
    <w:p>
      <w:pPr>
        <w:tabs>
          <w:tab w:val="left" w:pos="2340"/>
        </w:tabs>
        <w:spacing w:line="480" w:lineRule="auto"/>
        <w:jc w:val="center"/>
        <w:rPr>
          <w:rFonts w:hint="eastAsia" w:ascii="黑体" w:hAnsi="黑体" w:eastAsia="黑体"/>
          <w:b/>
          <w:bCs/>
          <w:sz w:val="32"/>
        </w:rPr>
      </w:pPr>
    </w:p>
    <w:p>
      <w:pPr>
        <w:tabs>
          <w:tab w:val="left" w:pos="2340"/>
        </w:tabs>
        <w:spacing w:line="480" w:lineRule="auto"/>
        <w:jc w:val="center"/>
        <w:rPr>
          <w:rFonts w:hint="eastAsia" w:ascii="黑体" w:hAnsi="黑体" w:eastAsia="黑体"/>
          <w:b/>
          <w:bCs/>
          <w:sz w:val="32"/>
        </w:rPr>
      </w:pPr>
    </w:p>
    <w:p>
      <w:pPr>
        <w:tabs>
          <w:tab w:val="left" w:pos="2340"/>
        </w:tabs>
        <w:spacing w:line="480" w:lineRule="auto"/>
        <w:jc w:val="center"/>
        <w:rPr>
          <w:rFonts w:hint="eastAsia" w:ascii="黑体" w:hAnsi="黑体" w:eastAsia="黑体"/>
          <w:b/>
          <w:bCs/>
          <w:sz w:val="32"/>
        </w:rPr>
      </w:pPr>
    </w:p>
    <w:p>
      <w:pPr>
        <w:tabs>
          <w:tab w:val="left" w:pos="2340"/>
        </w:tabs>
        <w:spacing w:line="480" w:lineRule="auto"/>
        <w:jc w:val="center"/>
        <w:rPr>
          <w:rFonts w:hint="eastAsia" w:ascii="黑体" w:hAnsi="黑体" w:eastAsia="黑体"/>
          <w:b/>
          <w:bCs/>
          <w:sz w:val="32"/>
        </w:rPr>
      </w:pPr>
    </w:p>
    <w:p>
      <w:pPr>
        <w:tabs>
          <w:tab w:val="left" w:pos="2340"/>
        </w:tabs>
        <w:spacing w:line="480" w:lineRule="auto"/>
        <w:jc w:val="center"/>
        <w:rPr>
          <w:rFonts w:hint="eastAsia" w:ascii="黑体" w:hAnsi="黑体" w:eastAsia="黑体"/>
          <w:b/>
          <w:bCs/>
          <w:sz w:val="32"/>
        </w:rPr>
      </w:pPr>
    </w:p>
    <w:p>
      <w:pPr>
        <w:tabs>
          <w:tab w:val="left" w:pos="2340"/>
        </w:tabs>
        <w:spacing w:line="480" w:lineRule="auto"/>
        <w:jc w:val="both"/>
        <w:rPr>
          <w:rFonts w:hint="eastAsia" w:ascii="黑体" w:hAnsi="黑体" w:eastAsia="黑体"/>
          <w:b/>
          <w:bCs/>
          <w:sz w:val="32"/>
        </w:rPr>
      </w:pPr>
    </w:p>
    <w:p>
      <w:pPr>
        <w:tabs>
          <w:tab w:val="left" w:pos="2340"/>
        </w:tabs>
        <w:spacing w:line="480" w:lineRule="auto"/>
        <w:jc w:val="center"/>
        <w:rPr>
          <w:rFonts w:hint="eastAsia" w:ascii="黑体" w:hAnsi="黑体" w:eastAsia="黑体"/>
          <w:b/>
          <w:bCs/>
          <w:sz w:val="32"/>
        </w:rPr>
      </w:pPr>
    </w:p>
    <w:p>
      <w:pPr>
        <w:tabs>
          <w:tab w:val="left" w:pos="2340"/>
        </w:tabs>
        <w:spacing w:line="480" w:lineRule="auto"/>
        <w:jc w:val="center"/>
        <w:rPr>
          <w:rFonts w:hint="eastAsia" w:ascii="黑体" w:hAnsi="黑体" w:eastAsia="黑体"/>
          <w:b/>
          <w:bCs/>
          <w:sz w:val="32"/>
        </w:rPr>
      </w:pPr>
    </w:p>
    <w:p>
      <w:pPr>
        <w:tabs>
          <w:tab w:val="left" w:pos="2340"/>
        </w:tabs>
        <w:spacing w:line="480" w:lineRule="auto"/>
        <w:jc w:val="center"/>
        <w:rPr>
          <w:rFonts w:hint="eastAsia" w:ascii="黑体" w:hAnsi="黑体" w:eastAsia="黑体"/>
          <w:b/>
          <w:bCs/>
          <w:sz w:val="32"/>
        </w:rPr>
      </w:pPr>
    </w:p>
    <w:p>
      <w:pPr>
        <w:tabs>
          <w:tab w:val="left" w:pos="2340"/>
        </w:tabs>
        <w:spacing w:line="480" w:lineRule="auto"/>
        <w:jc w:val="center"/>
        <w:rPr>
          <w:rFonts w:hint="eastAsia" w:ascii="黑体" w:hAnsi="黑体" w:eastAsia="黑体"/>
          <w:b/>
          <w:bCs/>
          <w:sz w:val="32"/>
        </w:rPr>
      </w:pPr>
    </w:p>
    <w:p>
      <w:pPr>
        <w:tabs>
          <w:tab w:val="left" w:pos="2340"/>
        </w:tabs>
        <w:spacing w:line="480" w:lineRule="auto"/>
        <w:jc w:val="center"/>
        <w:rPr>
          <w:rFonts w:ascii="黑体" w:hAnsi="黑体" w:eastAsia="黑体"/>
          <w:b/>
          <w:bCs/>
          <w:sz w:val="32"/>
        </w:rPr>
      </w:pPr>
      <w:r>
        <w:rPr>
          <w:rFonts w:hint="eastAsia" w:ascii="黑体" w:hAnsi="黑体" w:eastAsia="黑体"/>
          <w:b/>
          <w:bCs/>
          <w:sz w:val="32"/>
        </w:rPr>
        <w:t>第一节</w:t>
      </w:r>
      <w:r>
        <w:rPr>
          <w:rFonts w:hint="eastAsia" w:ascii="黑体" w:hAnsi="黑体" w:eastAsia="黑体"/>
          <w:b/>
          <w:bCs/>
          <w:sz w:val="32"/>
          <w:lang w:val="en-US" w:eastAsia="zh-CN"/>
        </w:rPr>
        <w:t xml:space="preserve"> </w:t>
      </w:r>
      <w:r>
        <w:rPr>
          <w:rFonts w:hint="eastAsia" w:ascii="黑体" w:hAnsi="黑体" w:eastAsia="黑体"/>
          <w:b/>
          <w:bCs/>
          <w:sz w:val="32"/>
        </w:rPr>
        <w:t>供货范围、技术规格、参数与要求</w:t>
      </w:r>
    </w:p>
    <w:p>
      <w:pPr>
        <w:adjustRightInd w:val="0"/>
        <w:snapToGrid w:val="0"/>
        <w:spacing w:before="312" w:beforeLines="100" w:after="312" w:afterLines="100" w:line="360" w:lineRule="auto"/>
        <w:ind w:left="2246" w:leftChars="-5" w:hanging="2256" w:hangingChars="1070"/>
        <w:rPr>
          <w:b/>
          <w:szCs w:val="21"/>
        </w:rPr>
      </w:pPr>
      <w:r>
        <w:rPr>
          <w:rFonts w:hint="eastAsia"/>
          <w:b/>
          <w:szCs w:val="21"/>
        </w:rPr>
        <w:t>一、货物需求一览表</w:t>
      </w:r>
    </w:p>
    <w:tbl>
      <w:tblPr>
        <w:tblStyle w:val="17"/>
        <w:tblW w:w="921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72"/>
        <w:gridCol w:w="2446"/>
        <w:gridCol w:w="1011"/>
        <w:gridCol w:w="690"/>
        <w:gridCol w:w="709"/>
        <w:gridCol w:w="1559"/>
        <w:gridCol w:w="1276"/>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Times New Roman"/>
                <w:b/>
              </w:rPr>
            </w:pPr>
            <w:r>
              <w:rPr>
                <w:rFonts w:hint="eastAsia" w:ascii="宋体" w:hAnsi="宋体"/>
                <w:b/>
              </w:rPr>
              <w:t>序号</w:t>
            </w:r>
          </w:p>
        </w:tc>
        <w:tc>
          <w:tcPr>
            <w:tcW w:w="244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Times New Roman"/>
                <w:b/>
              </w:rPr>
            </w:pPr>
            <w:r>
              <w:rPr>
                <w:rFonts w:hint="eastAsia" w:ascii="宋体" w:hAnsi="宋体"/>
                <w:b/>
              </w:rPr>
              <w:t>名称</w:t>
            </w:r>
          </w:p>
        </w:tc>
        <w:tc>
          <w:tcPr>
            <w:tcW w:w="101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b/>
              </w:rPr>
            </w:pPr>
            <w:r>
              <w:rPr>
                <w:rFonts w:hint="eastAsia" w:ascii="宋体" w:hAnsi="宋体"/>
                <w:b/>
              </w:rPr>
              <w:t>规格型号</w:t>
            </w:r>
          </w:p>
        </w:tc>
        <w:tc>
          <w:tcPr>
            <w:tcW w:w="69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Times New Roman"/>
                <w:b/>
              </w:rPr>
            </w:pPr>
            <w:r>
              <w:rPr>
                <w:rFonts w:hint="eastAsia" w:ascii="宋体" w:hAnsi="宋体"/>
                <w:b/>
              </w:rPr>
              <w:t>单位</w:t>
            </w: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Times New Roman"/>
                <w:b/>
              </w:rPr>
            </w:pPr>
            <w:r>
              <w:rPr>
                <w:rFonts w:hint="eastAsia" w:ascii="宋体" w:hAnsi="宋体"/>
                <w:b/>
              </w:rPr>
              <w:t>数量</w:t>
            </w:r>
          </w:p>
        </w:tc>
        <w:tc>
          <w:tcPr>
            <w:tcW w:w="155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b/>
              </w:rPr>
            </w:pPr>
            <w:r>
              <w:rPr>
                <w:rFonts w:hint="eastAsia" w:ascii="宋体" w:hAnsi="宋体"/>
                <w:b/>
              </w:rPr>
              <w:t>交货时间</w:t>
            </w: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b/>
              </w:rPr>
            </w:pPr>
            <w:r>
              <w:rPr>
                <w:rFonts w:hint="eastAsia" w:ascii="宋体" w:hAnsi="宋体"/>
                <w:b/>
              </w:rPr>
              <w:t>交货地点</w:t>
            </w:r>
          </w:p>
        </w:tc>
        <w:tc>
          <w:tcPr>
            <w:tcW w:w="85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Times New Roman"/>
                <w:b/>
              </w:rPr>
            </w:pPr>
            <w:r>
              <w:rPr>
                <w:rFonts w:hint="eastAsia" w:ascii="宋体" w:hAnsi="宋体"/>
                <w:b/>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1</w:t>
            </w:r>
          </w:p>
        </w:tc>
        <w:tc>
          <w:tcPr>
            <w:tcW w:w="244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eastAsia="宋体"/>
                <w:szCs w:val="21"/>
                <w:lang w:eastAsia="zh-CN"/>
              </w:rPr>
            </w:pPr>
            <w:r>
              <w:rPr>
                <w:rFonts w:hint="eastAsia" w:ascii="宋体" w:eastAsia="宋体"/>
                <w:szCs w:val="21"/>
                <w:lang w:eastAsia="zh-CN"/>
              </w:rPr>
              <w:t>翼闸（单机芯）</w:t>
            </w:r>
          </w:p>
        </w:tc>
        <w:tc>
          <w:tcPr>
            <w:tcW w:w="101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r>
              <w:rPr>
                <w:rFonts w:hint="eastAsia" w:ascii="宋体"/>
                <w:szCs w:val="21"/>
              </w:rPr>
              <w:t>QY-TY310</w:t>
            </w:r>
            <w:r>
              <w:rPr>
                <w:rFonts w:hint="eastAsia" w:ascii="宋体"/>
                <w:szCs w:val="21"/>
                <w:lang w:val="en-US" w:eastAsia="zh-CN"/>
              </w:rPr>
              <w:t>-1</w:t>
            </w:r>
          </w:p>
        </w:tc>
        <w:tc>
          <w:tcPr>
            <w:tcW w:w="69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firstLine="210" w:firstLineChars="100"/>
              <w:rPr>
                <w:rFonts w:ascii="宋体"/>
                <w:szCs w:val="21"/>
              </w:rPr>
            </w:pPr>
            <w:r>
              <w:rPr>
                <w:rFonts w:hint="eastAsia" w:ascii="宋体" w:hAnsi="宋体"/>
                <w:szCs w:val="21"/>
              </w:rPr>
              <w:t>台</w:t>
            </w: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eastAsia="宋体"/>
                <w:szCs w:val="21"/>
                <w:lang w:eastAsia="zh-CN"/>
              </w:rPr>
            </w:pPr>
            <w:r>
              <w:rPr>
                <w:rFonts w:hint="eastAsia" w:ascii="宋体" w:hAnsi="宋体"/>
                <w:szCs w:val="21"/>
                <w:lang w:val="en-US" w:eastAsia="zh-CN"/>
              </w:rPr>
              <w:t>4</w:t>
            </w:r>
          </w:p>
        </w:tc>
        <w:tc>
          <w:tcPr>
            <w:tcW w:w="1559" w:type="dxa"/>
            <w:vMerge w:val="restart"/>
            <w:tcBorders>
              <w:top w:val="single" w:color="auto" w:sz="4" w:space="0"/>
              <w:left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r>
              <w:rPr>
                <w:rFonts w:hint="eastAsia" w:ascii="宋体" w:hAnsi="宋体"/>
                <w:szCs w:val="21"/>
              </w:rPr>
              <w:t>自合同签订之日起7</w:t>
            </w:r>
            <w:r>
              <w:rPr>
                <w:rFonts w:ascii="宋体" w:hAnsi="宋体"/>
                <w:szCs w:val="21"/>
              </w:rPr>
              <w:t>0</w:t>
            </w:r>
            <w:r>
              <w:rPr>
                <w:rFonts w:hint="eastAsia" w:ascii="宋体" w:hAnsi="宋体"/>
                <w:szCs w:val="21"/>
              </w:rPr>
              <w:t>日内交货</w:t>
            </w:r>
          </w:p>
        </w:tc>
        <w:tc>
          <w:tcPr>
            <w:tcW w:w="1276" w:type="dxa"/>
            <w:vMerge w:val="restart"/>
            <w:tcBorders>
              <w:top w:val="single" w:color="auto" w:sz="4" w:space="0"/>
              <w:left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r>
              <w:rPr>
                <w:rFonts w:hint="eastAsia" w:ascii="宋体" w:hAnsi="宋体"/>
                <w:szCs w:val="21"/>
                <w:lang w:val="en-US" w:eastAsia="zh-CN"/>
              </w:rPr>
              <w:t>信息管理中心</w:t>
            </w:r>
          </w:p>
        </w:tc>
        <w:tc>
          <w:tcPr>
            <w:tcW w:w="85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2</w:t>
            </w:r>
          </w:p>
        </w:tc>
        <w:tc>
          <w:tcPr>
            <w:tcW w:w="244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eastAsia="宋体"/>
                <w:szCs w:val="21"/>
                <w:lang w:eastAsia="zh-CN"/>
              </w:rPr>
            </w:pPr>
            <w:r>
              <w:rPr>
                <w:rFonts w:hint="eastAsia" w:ascii="宋体" w:hAnsi="宋体"/>
                <w:szCs w:val="21"/>
                <w:lang w:val="en-US" w:eastAsia="zh-CN"/>
              </w:rPr>
              <w:t>翼闸（双机芯）</w:t>
            </w:r>
          </w:p>
        </w:tc>
        <w:tc>
          <w:tcPr>
            <w:tcW w:w="101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r>
              <w:rPr>
                <w:rFonts w:hint="eastAsia" w:ascii="宋体"/>
                <w:szCs w:val="21"/>
              </w:rPr>
              <w:t>QY-TY310-2</w:t>
            </w:r>
          </w:p>
        </w:tc>
        <w:tc>
          <w:tcPr>
            <w:tcW w:w="69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eastAsia="宋体"/>
                <w:szCs w:val="21"/>
                <w:lang w:eastAsia="zh-CN"/>
              </w:rPr>
            </w:pPr>
            <w:r>
              <w:rPr>
                <w:rFonts w:hint="eastAsia" w:ascii="宋体" w:hAnsi="宋体"/>
                <w:szCs w:val="21"/>
                <w:lang w:val="en-US" w:eastAsia="zh-CN"/>
              </w:rPr>
              <w:t>台</w:t>
            </w: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eastAsia="宋体"/>
                <w:szCs w:val="21"/>
                <w:lang w:eastAsia="zh-CN"/>
              </w:rPr>
            </w:pPr>
            <w:r>
              <w:rPr>
                <w:rFonts w:hint="eastAsia" w:ascii="宋体" w:hAnsi="宋体"/>
                <w:szCs w:val="21"/>
                <w:lang w:val="en-US" w:eastAsia="zh-CN"/>
              </w:rPr>
              <w:t>1</w:t>
            </w:r>
          </w:p>
        </w:tc>
        <w:tc>
          <w:tcPr>
            <w:tcW w:w="1559" w:type="dxa"/>
            <w:vMerge w:val="continue"/>
            <w:tcBorders>
              <w:left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p>
        </w:tc>
        <w:tc>
          <w:tcPr>
            <w:tcW w:w="1276" w:type="dxa"/>
            <w:vMerge w:val="continue"/>
            <w:tcBorders>
              <w:left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3</w:t>
            </w:r>
          </w:p>
        </w:tc>
        <w:tc>
          <w:tcPr>
            <w:tcW w:w="244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r>
              <w:rPr>
                <w:rFonts w:hint="eastAsia" w:ascii="宋体" w:hAnsi="宋体"/>
                <w:szCs w:val="21"/>
              </w:rPr>
              <w:t>专用电源+空开</w:t>
            </w:r>
          </w:p>
        </w:tc>
        <w:tc>
          <w:tcPr>
            <w:tcW w:w="1011" w:type="dxa"/>
            <w:tcBorders>
              <w:top w:val="single" w:color="auto" w:sz="4" w:space="0"/>
              <w:left w:val="single" w:color="auto" w:sz="4" w:space="0"/>
              <w:bottom w:val="single" w:color="auto" w:sz="4" w:space="0"/>
              <w:right w:val="single" w:color="auto" w:sz="4" w:space="0"/>
            </w:tcBorders>
            <w:vAlign w:val="center"/>
          </w:tcPr>
          <w:p>
            <w:pPr>
              <w:tabs>
                <w:tab w:val="left" w:pos="320"/>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firstLine="210" w:firstLineChars="100"/>
              <w:jc w:val="left"/>
              <w:rPr>
                <w:rFonts w:hint="eastAsia" w:ascii="宋体" w:eastAsia="宋体"/>
                <w:szCs w:val="21"/>
                <w:lang w:eastAsia="zh-CN"/>
              </w:rPr>
            </w:pPr>
            <w:r>
              <w:rPr>
                <w:rFonts w:hint="eastAsia" w:ascii="宋体"/>
                <w:szCs w:val="21"/>
                <w:lang w:eastAsia="zh-CN"/>
              </w:rPr>
              <w:t>12V 6A</w:t>
            </w:r>
            <w:r>
              <w:rPr>
                <w:rFonts w:hint="eastAsia" w:ascii="宋体"/>
                <w:szCs w:val="21"/>
                <w:lang w:eastAsia="zh-CN"/>
              </w:rPr>
              <w:tab/>
            </w:r>
          </w:p>
        </w:tc>
        <w:tc>
          <w:tcPr>
            <w:tcW w:w="69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eastAsia="宋体"/>
                <w:szCs w:val="21"/>
                <w:lang w:eastAsia="zh-CN"/>
              </w:rPr>
            </w:pPr>
            <w:r>
              <w:rPr>
                <w:rFonts w:hint="eastAsia" w:ascii="宋体" w:hAnsi="宋体"/>
                <w:szCs w:val="21"/>
                <w:lang w:val="en-US" w:eastAsia="zh-CN"/>
              </w:rPr>
              <w:t>个</w:t>
            </w: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eastAsia="宋体"/>
                <w:szCs w:val="21"/>
                <w:lang w:eastAsia="zh-CN"/>
              </w:rPr>
            </w:pPr>
            <w:r>
              <w:rPr>
                <w:rFonts w:hint="eastAsia" w:ascii="宋体" w:hAnsi="宋体"/>
                <w:szCs w:val="21"/>
                <w:lang w:val="en-US" w:eastAsia="zh-CN"/>
              </w:rPr>
              <w:t>3</w:t>
            </w:r>
          </w:p>
        </w:tc>
        <w:tc>
          <w:tcPr>
            <w:tcW w:w="1559" w:type="dxa"/>
            <w:vMerge w:val="continue"/>
            <w:tcBorders>
              <w:left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p>
        </w:tc>
        <w:tc>
          <w:tcPr>
            <w:tcW w:w="1276" w:type="dxa"/>
            <w:vMerge w:val="continue"/>
            <w:tcBorders>
              <w:left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4</w:t>
            </w:r>
          </w:p>
        </w:tc>
        <w:tc>
          <w:tcPr>
            <w:tcW w:w="244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r>
              <w:rPr>
                <w:rFonts w:hint="eastAsia" w:ascii="宋体" w:hAnsi="宋体"/>
                <w:szCs w:val="21"/>
              </w:rPr>
              <w:t>网络版闸机控制板</w:t>
            </w:r>
          </w:p>
        </w:tc>
        <w:tc>
          <w:tcPr>
            <w:tcW w:w="101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r>
              <w:rPr>
                <w:rFonts w:hint="eastAsia" w:ascii="宋体"/>
                <w:szCs w:val="21"/>
              </w:rPr>
              <w:t>QY-MK101-TCP</w:t>
            </w:r>
          </w:p>
        </w:tc>
        <w:tc>
          <w:tcPr>
            <w:tcW w:w="69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eastAsia="宋体"/>
                <w:szCs w:val="21"/>
                <w:lang w:val="en-US" w:eastAsia="zh-CN"/>
              </w:rPr>
            </w:pPr>
            <w:r>
              <w:rPr>
                <w:rFonts w:hint="eastAsia" w:ascii="宋体"/>
                <w:szCs w:val="21"/>
                <w:lang w:val="en-US" w:eastAsia="zh-CN"/>
              </w:rPr>
              <w:t>块</w:t>
            </w: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eastAsia="宋体"/>
                <w:szCs w:val="21"/>
                <w:lang w:eastAsia="zh-CN"/>
              </w:rPr>
            </w:pPr>
            <w:r>
              <w:rPr>
                <w:rFonts w:hint="eastAsia" w:ascii="宋体" w:hAnsi="宋体"/>
                <w:szCs w:val="21"/>
                <w:lang w:val="en-US" w:eastAsia="zh-CN"/>
              </w:rPr>
              <w:t>3</w:t>
            </w:r>
          </w:p>
        </w:tc>
        <w:tc>
          <w:tcPr>
            <w:tcW w:w="1559" w:type="dxa"/>
            <w:vMerge w:val="continue"/>
            <w:tcBorders>
              <w:left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p>
        </w:tc>
        <w:tc>
          <w:tcPr>
            <w:tcW w:w="1276" w:type="dxa"/>
            <w:vMerge w:val="continue"/>
            <w:tcBorders>
              <w:left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eastAsia="宋体"/>
                <w:szCs w:val="21"/>
                <w:lang w:val="en-US" w:eastAsia="zh-CN"/>
              </w:rPr>
            </w:pPr>
            <w:r>
              <w:rPr>
                <w:rFonts w:hint="eastAsia" w:ascii="宋体" w:hAnsi="宋体"/>
                <w:szCs w:val="21"/>
                <w:lang w:val="en-US" w:eastAsia="zh-CN"/>
              </w:rPr>
              <w:t>5</w:t>
            </w:r>
          </w:p>
        </w:tc>
        <w:tc>
          <w:tcPr>
            <w:tcW w:w="244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szCs w:val="21"/>
              </w:rPr>
            </w:pPr>
            <w:r>
              <w:rPr>
                <w:rFonts w:hint="eastAsia" w:ascii="宋体" w:hAnsi="宋体"/>
                <w:szCs w:val="21"/>
              </w:rPr>
              <w:t>人脸识别+指纹 门禁</w:t>
            </w:r>
          </w:p>
        </w:tc>
        <w:tc>
          <w:tcPr>
            <w:tcW w:w="101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r>
              <w:rPr>
                <w:rFonts w:hint="eastAsia" w:ascii="宋体"/>
                <w:szCs w:val="21"/>
              </w:rPr>
              <w:t>QY-FACE803</w:t>
            </w:r>
          </w:p>
        </w:tc>
        <w:tc>
          <w:tcPr>
            <w:tcW w:w="69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eastAsia="宋体"/>
                <w:szCs w:val="21"/>
                <w:lang w:val="en-US" w:eastAsia="zh-CN"/>
              </w:rPr>
            </w:pPr>
            <w:r>
              <w:rPr>
                <w:rFonts w:hint="eastAsia" w:ascii="宋体" w:hAnsi="宋体"/>
                <w:szCs w:val="21"/>
                <w:lang w:val="en-US" w:eastAsia="zh-CN"/>
              </w:rPr>
              <w:t>台</w:t>
            </w: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eastAsia="宋体"/>
                <w:szCs w:val="21"/>
                <w:lang w:val="en-US" w:eastAsia="zh-CN"/>
              </w:rPr>
            </w:pPr>
            <w:r>
              <w:rPr>
                <w:rFonts w:hint="eastAsia" w:ascii="宋体" w:hAnsi="宋体"/>
                <w:szCs w:val="21"/>
                <w:lang w:val="en-US" w:eastAsia="zh-CN"/>
              </w:rPr>
              <w:t>6</w:t>
            </w:r>
          </w:p>
        </w:tc>
        <w:tc>
          <w:tcPr>
            <w:tcW w:w="1559" w:type="dxa"/>
            <w:vMerge w:val="continue"/>
            <w:tcBorders>
              <w:left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p>
        </w:tc>
        <w:tc>
          <w:tcPr>
            <w:tcW w:w="1276" w:type="dxa"/>
            <w:vMerge w:val="continue"/>
            <w:tcBorders>
              <w:left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eastAsia="宋体"/>
                <w:szCs w:val="21"/>
                <w:lang w:val="en-US" w:eastAsia="zh-CN"/>
              </w:rPr>
            </w:pPr>
            <w:r>
              <w:rPr>
                <w:rFonts w:hint="eastAsia" w:ascii="宋体" w:hAnsi="宋体"/>
                <w:szCs w:val="21"/>
                <w:lang w:val="en-US" w:eastAsia="zh-CN"/>
              </w:rPr>
              <w:t>6</w:t>
            </w:r>
          </w:p>
        </w:tc>
        <w:tc>
          <w:tcPr>
            <w:tcW w:w="244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szCs w:val="21"/>
              </w:rPr>
            </w:pPr>
            <w:r>
              <w:rPr>
                <w:rFonts w:hint="eastAsia" w:ascii="宋体" w:hAnsi="宋体"/>
                <w:szCs w:val="21"/>
              </w:rPr>
              <w:t>多模激光扫描仪</w:t>
            </w:r>
          </w:p>
        </w:tc>
        <w:tc>
          <w:tcPr>
            <w:tcW w:w="101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r>
              <w:rPr>
                <w:rFonts w:hint="eastAsia" w:ascii="宋体"/>
                <w:szCs w:val="21"/>
              </w:rPr>
              <w:t>串口</w:t>
            </w:r>
          </w:p>
        </w:tc>
        <w:tc>
          <w:tcPr>
            <w:tcW w:w="69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eastAsia="宋体"/>
                <w:szCs w:val="21"/>
                <w:lang w:val="en-US" w:eastAsia="zh-CN"/>
              </w:rPr>
            </w:pPr>
            <w:r>
              <w:rPr>
                <w:rFonts w:hint="eastAsia" w:ascii="宋体" w:hAnsi="宋体"/>
                <w:szCs w:val="21"/>
                <w:lang w:val="en-US" w:eastAsia="zh-CN"/>
              </w:rPr>
              <w:t>台</w:t>
            </w: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eastAsia="宋体"/>
                <w:szCs w:val="21"/>
                <w:lang w:val="en-US" w:eastAsia="zh-CN"/>
              </w:rPr>
            </w:pPr>
            <w:r>
              <w:rPr>
                <w:rFonts w:hint="eastAsia" w:ascii="宋体" w:hAnsi="宋体"/>
                <w:szCs w:val="21"/>
                <w:lang w:val="en-US" w:eastAsia="zh-CN"/>
              </w:rPr>
              <w:t>6</w:t>
            </w:r>
          </w:p>
        </w:tc>
        <w:tc>
          <w:tcPr>
            <w:tcW w:w="1559" w:type="dxa"/>
            <w:vMerge w:val="continue"/>
            <w:tcBorders>
              <w:left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p>
        </w:tc>
        <w:tc>
          <w:tcPr>
            <w:tcW w:w="1276" w:type="dxa"/>
            <w:vMerge w:val="continue"/>
            <w:tcBorders>
              <w:left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eastAsia="宋体"/>
                <w:szCs w:val="21"/>
                <w:lang w:val="en-US" w:eastAsia="zh-CN"/>
              </w:rPr>
            </w:pPr>
            <w:r>
              <w:rPr>
                <w:rFonts w:hint="eastAsia" w:ascii="宋体" w:hAnsi="宋体"/>
                <w:szCs w:val="21"/>
                <w:lang w:val="en-US" w:eastAsia="zh-CN"/>
              </w:rPr>
              <w:t>7</w:t>
            </w:r>
          </w:p>
        </w:tc>
        <w:tc>
          <w:tcPr>
            <w:tcW w:w="244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szCs w:val="21"/>
              </w:rPr>
            </w:pPr>
            <w:r>
              <w:rPr>
                <w:rFonts w:hint="eastAsia" w:ascii="宋体" w:hAnsi="宋体"/>
                <w:szCs w:val="21"/>
              </w:rPr>
              <w:t>门禁安全系统软件(带狗)</w:t>
            </w:r>
          </w:p>
        </w:tc>
        <w:tc>
          <w:tcPr>
            <w:tcW w:w="101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r>
              <w:rPr>
                <w:rFonts w:hint="eastAsia" w:ascii="宋体"/>
                <w:szCs w:val="21"/>
              </w:rPr>
              <w:t>QY-ACCESS-2015</w:t>
            </w:r>
          </w:p>
        </w:tc>
        <w:tc>
          <w:tcPr>
            <w:tcW w:w="69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eastAsia="宋体"/>
                <w:szCs w:val="21"/>
                <w:lang w:val="en-US" w:eastAsia="zh-CN"/>
              </w:rPr>
            </w:pPr>
            <w:r>
              <w:rPr>
                <w:rFonts w:hint="eastAsia" w:ascii="宋体" w:hAnsi="宋体"/>
                <w:szCs w:val="21"/>
                <w:lang w:val="en-US" w:eastAsia="zh-CN"/>
              </w:rPr>
              <w:t>套</w:t>
            </w: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eastAsia="宋体"/>
                <w:szCs w:val="21"/>
                <w:lang w:val="en-US" w:eastAsia="zh-CN"/>
              </w:rPr>
            </w:pPr>
            <w:r>
              <w:rPr>
                <w:rFonts w:hint="eastAsia" w:ascii="宋体" w:hAnsi="宋体"/>
                <w:szCs w:val="21"/>
                <w:lang w:val="en-US" w:eastAsia="zh-CN"/>
              </w:rPr>
              <w:t>2</w:t>
            </w:r>
          </w:p>
        </w:tc>
        <w:tc>
          <w:tcPr>
            <w:tcW w:w="1559" w:type="dxa"/>
            <w:vMerge w:val="continue"/>
            <w:tcBorders>
              <w:left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p>
        </w:tc>
        <w:tc>
          <w:tcPr>
            <w:tcW w:w="1276" w:type="dxa"/>
            <w:vMerge w:val="continue"/>
            <w:tcBorders>
              <w:left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szCs w:val="21"/>
                <w:lang w:val="en-US" w:eastAsia="zh-CN"/>
              </w:rPr>
            </w:pPr>
            <w:r>
              <w:rPr>
                <w:rFonts w:hint="eastAsia" w:ascii="宋体" w:hAnsi="宋体"/>
                <w:szCs w:val="21"/>
                <w:lang w:val="en-US" w:eastAsia="zh-CN"/>
              </w:rPr>
              <w:t>8</w:t>
            </w:r>
          </w:p>
        </w:tc>
        <w:tc>
          <w:tcPr>
            <w:tcW w:w="244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szCs w:val="21"/>
              </w:rPr>
            </w:pPr>
            <w:r>
              <w:rPr>
                <w:rFonts w:hint="eastAsia" w:ascii="宋体" w:hAnsi="宋体" w:eastAsia="宋体" w:cs="宋体"/>
                <w:i w:val="0"/>
                <w:color w:val="000000"/>
                <w:kern w:val="0"/>
                <w:sz w:val="22"/>
                <w:szCs w:val="22"/>
                <w:u w:val="none"/>
                <w:lang w:val="en-US" w:eastAsia="zh-CN" w:bidi="ar"/>
              </w:rPr>
              <w:t>电源线</w:t>
            </w:r>
          </w:p>
        </w:tc>
        <w:tc>
          <w:tcPr>
            <w:tcW w:w="101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szCs w:val="21"/>
              </w:rPr>
            </w:pPr>
            <w:r>
              <w:rPr>
                <w:rFonts w:hint="eastAsia" w:ascii="宋体" w:hAnsi="宋体" w:eastAsia="宋体" w:cs="宋体"/>
                <w:i w:val="0"/>
                <w:color w:val="000000"/>
                <w:kern w:val="0"/>
                <w:sz w:val="22"/>
                <w:szCs w:val="22"/>
                <w:u w:val="none"/>
                <w:lang w:val="en-US" w:eastAsia="zh-CN" w:bidi="ar"/>
              </w:rPr>
              <w:t>RVV 2*1.0</w:t>
            </w:r>
          </w:p>
        </w:tc>
        <w:tc>
          <w:tcPr>
            <w:tcW w:w="690" w:type="dxa"/>
            <w:tcBorders>
              <w:top w:val="single" w:color="auto" w:sz="4" w:space="0"/>
              <w:left w:val="single" w:color="auto" w:sz="4" w:space="0"/>
              <w:bottom w:val="single" w:color="auto" w:sz="4" w:space="0"/>
              <w:right w:val="single" w:color="auto" w:sz="4" w:space="0"/>
            </w:tcBorders>
            <w:vAlign w:val="center"/>
          </w:tcPr>
          <w:p>
            <w:pPr>
              <w:tabs>
                <w:tab w:val="left" w:pos="221"/>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left"/>
              <w:rPr>
                <w:rFonts w:hint="eastAsia" w:ascii="宋体" w:hAnsi="宋体"/>
                <w:szCs w:val="21"/>
                <w:lang w:val="en-US" w:eastAsia="zh-CN"/>
              </w:rPr>
            </w:pPr>
            <w:r>
              <w:rPr>
                <w:rFonts w:hint="eastAsia" w:ascii="宋体" w:hAnsi="宋体"/>
                <w:szCs w:val="21"/>
                <w:lang w:val="en-US" w:eastAsia="zh-CN"/>
              </w:rPr>
              <w:tab/>
            </w:r>
            <w:r>
              <w:rPr>
                <w:rFonts w:hint="eastAsia" w:ascii="宋体" w:hAnsi="宋体"/>
                <w:szCs w:val="21"/>
                <w:lang w:val="en-US" w:eastAsia="zh-CN"/>
              </w:rPr>
              <w:t>卷</w:t>
            </w: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szCs w:val="21"/>
                <w:lang w:val="en-US" w:eastAsia="zh-CN"/>
              </w:rPr>
            </w:pPr>
            <w:r>
              <w:rPr>
                <w:rFonts w:hint="eastAsia" w:ascii="宋体" w:hAnsi="宋体"/>
                <w:szCs w:val="21"/>
                <w:lang w:val="en-US" w:eastAsia="zh-CN"/>
              </w:rPr>
              <w:t>3</w:t>
            </w:r>
          </w:p>
        </w:tc>
        <w:tc>
          <w:tcPr>
            <w:tcW w:w="1559" w:type="dxa"/>
            <w:vMerge w:val="continue"/>
            <w:tcBorders>
              <w:left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p>
        </w:tc>
        <w:tc>
          <w:tcPr>
            <w:tcW w:w="1276" w:type="dxa"/>
            <w:vMerge w:val="continue"/>
            <w:tcBorders>
              <w:left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szCs w:val="21"/>
                <w:lang w:val="en-US" w:eastAsia="zh-CN"/>
              </w:rPr>
            </w:pPr>
            <w:r>
              <w:rPr>
                <w:rFonts w:hint="eastAsia" w:ascii="宋体" w:hAnsi="宋体"/>
                <w:szCs w:val="21"/>
                <w:lang w:val="en-US" w:eastAsia="zh-CN"/>
              </w:rPr>
              <w:t>9</w:t>
            </w:r>
          </w:p>
        </w:tc>
        <w:tc>
          <w:tcPr>
            <w:tcW w:w="244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szCs w:val="21"/>
              </w:rPr>
            </w:pPr>
            <w:r>
              <w:rPr>
                <w:rFonts w:hint="eastAsia" w:ascii="宋体" w:hAnsi="宋体" w:eastAsia="宋体" w:cs="宋体"/>
                <w:i w:val="0"/>
                <w:color w:val="000000"/>
                <w:kern w:val="0"/>
                <w:sz w:val="22"/>
                <w:szCs w:val="22"/>
                <w:u w:val="none"/>
                <w:lang w:val="en-US" w:eastAsia="zh-CN" w:bidi="ar"/>
              </w:rPr>
              <w:t>通讯线</w:t>
            </w:r>
          </w:p>
        </w:tc>
        <w:tc>
          <w:tcPr>
            <w:tcW w:w="101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szCs w:val="21"/>
              </w:rPr>
            </w:pPr>
            <w:r>
              <w:rPr>
                <w:rFonts w:hint="eastAsia" w:ascii="宋体" w:hAnsi="宋体" w:eastAsia="宋体" w:cs="宋体"/>
                <w:i w:val="0"/>
                <w:color w:val="000000"/>
                <w:kern w:val="0"/>
                <w:sz w:val="22"/>
                <w:szCs w:val="22"/>
                <w:u w:val="none"/>
                <w:lang w:val="en-US" w:eastAsia="zh-CN" w:bidi="ar"/>
              </w:rPr>
              <w:t>RVVP  4*0.5</w:t>
            </w:r>
          </w:p>
        </w:tc>
        <w:tc>
          <w:tcPr>
            <w:tcW w:w="69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szCs w:val="21"/>
                <w:lang w:val="en-US" w:eastAsia="zh-CN"/>
              </w:rPr>
            </w:pPr>
            <w:r>
              <w:rPr>
                <w:rFonts w:hint="eastAsia" w:ascii="宋体" w:hAnsi="宋体"/>
                <w:szCs w:val="21"/>
                <w:lang w:val="en-US" w:eastAsia="zh-CN"/>
              </w:rPr>
              <w:t>卷</w:t>
            </w: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szCs w:val="21"/>
                <w:lang w:val="en-US" w:eastAsia="zh-CN"/>
              </w:rPr>
            </w:pPr>
            <w:r>
              <w:rPr>
                <w:rFonts w:hint="eastAsia" w:ascii="宋体" w:hAnsi="宋体"/>
                <w:szCs w:val="21"/>
                <w:lang w:val="en-US" w:eastAsia="zh-CN"/>
              </w:rPr>
              <w:t>3</w:t>
            </w:r>
          </w:p>
        </w:tc>
        <w:tc>
          <w:tcPr>
            <w:tcW w:w="1559" w:type="dxa"/>
            <w:vMerge w:val="continue"/>
            <w:tcBorders>
              <w:left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p>
        </w:tc>
        <w:tc>
          <w:tcPr>
            <w:tcW w:w="1276" w:type="dxa"/>
            <w:vMerge w:val="continue"/>
            <w:tcBorders>
              <w:left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szCs w:val="21"/>
                <w:lang w:val="en-US" w:eastAsia="zh-CN"/>
              </w:rPr>
            </w:pPr>
            <w:r>
              <w:rPr>
                <w:rFonts w:hint="eastAsia" w:ascii="宋体" w:hAnsi="宋体"/>
                <w:szCs w:val="21"/>
                <w:lang w:val="en-US" w:eastAsia="zh-CN"/>
              </w:rPr>
              <w:t>10</w:t>
            </w:r>
          </w:p>
        </w:tc>
        <w:tc>
          <w:tcPr>
            <w:tcW w:w="244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szCs w:val="21"/>
              </w:rPr>
            </w:pPr>
            <w:r>
              <w:rPr>
                <w:rFonts w:hint="eastAsia" w:ascii="宋体" w:hAnsi="宋体" w:eastAsia="宋体" w:cs="宋体"/>
                <w:i w:val="0"/>
                <w:color w:val="000000"/>
                <w:kern w:val="0"/>
                <w:sz w:val="22"/>
                <w:szCs w:val="22"/>
                <w:u w:val="none"/>
                <w:lang w:val="en-US" w:eastAsia="zh-CN" w:bidi="ar"/>
              </w:rPr>
              <w:t>网线</w:t>
            </w:r>
          </w:p>
        </w:tc>
        <w:tc>
          <w:tcPr>
            <w:tcW w:w="101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eastAsia="宋体"/>
                <w:szCs w:val="21"/>
                <w:lang w:val="en-US" w:eastAsia="zh-CN"/>
              </w:rPr>
            </w:pPr>
            <w:r>
              <w:rPr>
                <w:rFonts w:hint="eastAsia" w:ascii="宋体"/>
                <w:szCs w:val="21"/>
                <w:lang w:val="en-US" w:eastAsia="zh-CN"/>
              </w:rPr>
              <w:t>超5类</w:t>
            </w:r>
          </w:p>
        </w:tc>
        <w:tc>
          <w:tcPr>
            <w:tcW w:w="69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szCs w:val="21"/>
                <w:lang w:val="en-US" w:eastAsia="zh-CN"/>
              </w:rPr>
            </w:pPr>
            <w:r>
              <w:rPr>
                <w:rFonts w:hint="eastAsia" w:ascii="宋体" w:hAnsi="宋体"/>
                <w:szCs w:val="21"/>
                <w:lang w:val="en-US" w:eastAsia="zh-CN"/>
              </w:rPr>
              <w:t>箱</w:t>
            </w: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szCs w:val="21"/>
                <w:lang w:val="en-US" w:eastAsia="zh-CN"/>
              </w:rPr>
            </w:pPr>
            <w:r>
              <w:rPr>
                <w:rFonts w:hint="eastAsia" w:ascii="宋体" w:hAnsi="宋体"/>
                <w:szCs w:val="21"/>
                <w:lang w:val="en-US" w:eastAsia="zh-CN"/>
              </w:rPr>
              <w:t>1</w:t>
            </w:r>
          </w:p>
        </w:tc>
        <w:tc>
          <w:tcPr>
            <w:tcW w:w="1559" w:type="dxa"/>
            <w:vMerge w:val="continue"/>
            <w:tcBorders>
              <w:left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p>
        </w:tc>
        <w:tc>
          <w:tcPr>
            <w:tcW w:w="1276" w:type="dxa"/>
            <w:vMerge w:val="continue"/>
            <w:tcBorders>
              <w:left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p>
        </w:tc>
      </w:tr>
    </w:tbl>
    <w:p>
      <w:pPr>
        <w:adjustRightInd w:val="0"/>
        <w:snapToGrid w:val="0"/>
        <w:spacing w:before="312" w:beforeLines="100" w:line="360" w:lineRule="auto"/>
        <w:jc w:val="center"/>
        <w:rPr>
          <w:rFonts w:hint="eastAsia"/>
          <w:b/>
          <w:szCs w:val="21"/>
        </w:rPr>
      </w:pPr>
    </w:p>
    <w:p>
      <w:pPr>
        <w:adjustRightInd w:val="0"/>
        <w:snapToGrid w:val="0"/>
        <w:spacing w:before="312" w:beforeLines="100" w:line="360" w:lineRule="auto"/>
        <w:jc w:val="center"/>
        <w:rPr>
          <w:rFonts w:hint="eastAsia"/>
          <w:b/>
          <w:szCs w:val="21"/>
        </w:rPr>
      </w:pPr>
    </w:p>
    <w:p>
      <w:pPr>
        <w:adjustRightInd w:val="0"/>
        <w:snapToGrid w:val="0"/>
        <w:spacing w:before="312" w:beforeLines="100" w:line="360" w:lineRule="auto"/>
        <w:jc w:val="center"/>
        <w:rPr>
          <w:rFonts w:hint="eastAsia"/>
          <w:b/>
          <w:szCs w:val="21"/>
        </w:rPr>
      </w:pPr>
    </w:p>
    <w:p>
      <w:pPr>
        <w:adjustRightInd w:val="0"/>
        <w:snapToGrid w:val="0"/>
        <w:spacing w:before="312" w:beforeLines="100" w:line="360" w:lineRule="auto"/>
        <w:jc w:val="center"/>
        <w:rPr>
          <w:rFonts w:hint="eastAsia"/>
          <w:b/>
          <w:szCs w:val="21"/>
        </w:rPr>
      </w:pPr>
    </w:p>
    <w:p>
      <w:pPr>
        <w:adjustRightInd w:val="0"/>
        <w:snapToGrid w:val="0"/>
        <w:spacing w:before="312" w:beforeLines="100" w:line="360" w:lineRule="auto"/>
        <w:jc w:val="center"/>
        <w:rPr>
          <w:rFonts w:hint="eastAsia"/>
          <w:b/>
          <w:szCs w:val="21"/>
        </w:rPr>
      </w:pPr>
    </w:p>
    <w:p>
      <w:pPr>
        <w:adjustRightInd w:val="0"/>
        <w:snapToGrid w:val="0"/>
        <w:spacing w:before="312" w:beforeLines="100" w:line="360" w:lineRule="auto"/>
        <w:jc w:val="center"/>
        <w:rPr>
          <w:rFonts w:hint="eastAsia"/>
          <w:b/>
          <w:szCs w:val="21"/>
        </w:rPr>
      </w:pPr>
    </w:p>
    <w:p>
      <w:pPr>
        <w:adjustRightInd w:val="0"/>
        <w:snapToGrid w:val="0"/>
        <w:spacing w:before="312" w:beforeLines="100" w:line="360" w:lineRule="auto"/>
        <w:jc w:val="center"/>
        <w:rPr>
          <w:rFonts w:hint="eastAsia"/>
          <w:b/>
          <w:szCs w:val="21"/>
        </w:rPr>
      </w:pPr>
    </w:p>
    <w:p>
      <w:pPr>
        <w:adjustRightInd w:val="0"/>
        <w:snapToGrid w:val="0"/>
        <w:spacing w:before="312" w:beforeLines="100" w:line="360" w:lineRule="auto"/>
        <w:jc w:val="center"/>
        <w:rPr>
          <w:rFonts w:hint="eastAsia"/>
          <w:b/>
          <w:szCs w:val="21"/>
        </w:rPr>
      </w:pPr>
    </w:p>
    <w:p>
      <w:pPr>
        <w:adjustRightInd w:val="0"/>
        <w:snapToGrid w:val="0"/>
        <w:spacing w:before="312" w:beforeLines="100" w:line="360" w:lineRule="auto"/>
        <w:jc w:val="center"/>
        <w:rPr>
          <w:rFonts w:hint="eastAsia"/>
          <w:b/>
          <w:szCs w:val="21"/>
        </w:rPr>
      </w:pPr>
    </w:p>
    <w:p>
      <w:pPr>
        <w:adjustRightInd w:val="0"/>
        <w:snapToGrid w:val="0"/>
        <w:spacing w:before="312" w:beforeLines="100" w:line="360" w:lineRule="auto"/>
        <w:jc w:val="center"/>
        <w:rPr>
          <w:b/>
          <w:szCs w:val="21"/>
        </w:rPr>
      </w:pPr>
      <w:r>
        <w:rPr>
          <w:rFonts w:hint="eastAsia"/>
          <w:b/>
          <w:szCs w:val="21"/>
        </w:rPr>
        <w:t>分项报价表</w:t>
      </w:r>
    </w:p>
    <w:tbl>
      <w:tblPr>
        <w:tblStyle w:val="17"/>
        <w:tblW w:w="782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2247"/>
        <w:gridCol w:w="900"/>
        <w:gridCol w:w="1499"/>
        <w:gridCol w:w="1165"/>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7" w:hRule="atLeast"/>
          <w:tblHeader/>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kern w:val="0"/>
                <w:szCs w:val="21"/>
              </w:rPr>
            </w:pPr>
            <w:r>
              <w:rPr>
                <w:rFonts w:hint="eastAsia" w:ascii="宋体" w:hAnsi="宋体" w:cs="宋体"/>
                <w:b/>
                <w:kern w:val="0"/>
                <w:szCs w:val="21"/>
              </w:rPr>
              <w:t>序号</w:t>
            </w:r>
          </w:p>
        </w:tc>
        <w:tc>
          <w:tcPr>
            <w:tcW w:w="224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kern w:val="0"/>
                <w:szCs w:val="21"/>
              </w:rPr>
            </w:pPr>
            <w:r>
              <w:rPr>
                <w:rFonts w:hint="eastAsia" w:ascii="宋体" w:hAnsi="宋体" w:cs="宋体"/>
                <w:b/>
                <w:kern w:val="0"/>
                <w:szCs w:val="21"/>
              </w:rPr>
              <w:t>名称</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kern w:val="0"/>
                <w:szCs w:val="21"/>
              </w:rPr>
            </w:pPr>
            <w:r>
              <w:rPr>
                <w:rFonts w:hint="eastAsia" w:ascii="宋体" w:hAnsi="宋体" w:cs="宋体"/>
                <w:b/>
                <w:kern w:val="0"/>
                <w:szCs w:val="21"/>
              </w:rPr>
              <w:t>单位</w:t>
            </w:r>
          </w:p>
        </w:tc>
        <w:tc>
          <w:tcPr>
            <w:tcW w:w="149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kern w:val="0"/>
                <w:szCs w:val="21"/>
              </w:rPr>
            </w:pPr>
            <w:r>
              <w:rPr>
                <w:rFonts w:hint="eastAsia" w:ascii="宋体" w:hAnsi="宋体" w:cs="宋体"/>
                <w:b/>
                <w:kern w:val="0"/>
                <w:szCs w:val="21"/>
              </w:rPr>
              <w:t>数量</w:t>
            </w:r>
          </w:p>
        </w:tc>
        <w:tc>
          <w:tcPr>
            <w:tcW w:w="116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kern w:val="0"/>
                <w:szCs w:val="21"/>
              </w:rPr>
            </w:pPr>
            <w:r>
              <w:rPr>
                <w:rFonts w:hint="eastAsia" w:ascii="宋体" w:hAnsi="宋体" w:cs="宋体"/>
                <w:b/>
                <w:kern w:val="0"/>
                <w:szCs w:val="21"/>
              </w:rPr>
              <w:t>单价（元）</w:t>
            </w:r>
          </w:p>
        </w:tc>
        <w:tc>
          <w:tcPr>
            <w:tcW w:w="12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kern w:val="0"/>
                <w:szCs w:val="21"/>
              </w:rPr>
            </w:pPr>
            <w:r>
              <w:rPr>
                <w:rFonts w:hint="eastAsia" w:ascii="宋体" w:hAnsi="宋体" w:cs="宋体"/>
                <w:b/>
                <w:kern w:val="0"/>
                <w:szCs w:val="21"/>
              </w:rPr>
              <w:t>总价（元）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7" w:hRule="atLeast"/>
          <w:tblHeader/>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val="0"/>
                <w:bCs/>
                <w:kern w:val="0"/>
                <w:szCs w:val="21"/>
                <w:lang w:val="en-US" w:eastAsia="zh-CN"/>
              </w:rPr>
            </w:pPr>
            <w:r>
              <w:rPr>
                <w:rFonts w:hint="eastAsia" w:ascii="宋体" w:hAnsi="宋体" w:cs="宋体"/>
                <w:b w:val="0"/>
                <w:bCs/>
                <w:kern w:val="0"/>
                <w:szCs w:val="21"/>
                <w:lang w:val="en-US" w:eastAsia="zh-CN"/>
              </w:rPr>
              <w:t>1</w:t>
            </w:r>
          </w:p>
        </w:tc>
        <w:tc>
          <w:tcPr>
            <w:tcW w:w="224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cs="宋体"/>
                <w:b w:val="0"/>
                <w:bCs/>
                <w:kern w:val="0"/>
                <w:szCs w:val="21"/>
              </w:rPr>
            </w:pPr>
            <w:r>
              <w:rPr>
                <w:rFonts w:hint="eastAsia" w:ascii="宋体" w:eastAsia="宋体"/>
                <w:b w:val="0"/>
                <w:bCs/>
                <w:szCs w:val="21"/>
                <w:lang w:eastAsia="zh-CN"/>
              </w:rPr>
              <w:t>翼闸（单机芯）</w:t>
            </w:r>
          </w:p>
        </w:tc>
        <w:tc>
          <w:tcPr>
            <w:tcW w:w="90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firstLine="210" w:firstLineChars="100"/>
              <w:rPr>
                <w:rFonts w:ascii="宋体" w:hAnsi="宋体" w:cs="宋体"/>
                <w:b w:val="0"/>
                <w:bCs/>
                <w:kern w:val="0"/>
                <w:szCs w:val="21"/>
              </w:rPr>
            </w:pPr>
            <w:r>
              <w:rPr>
                <w:rFonts w:hint="eastAsia" w:ascii="宋体" w:hAnsi="宋体"/>
                <w:b w:val="0"/>
                <w:bCs/>
                <w:szCs w:val="21"/>
              </w:rPr>
              <w:t>台</w:t>
            </w:r>
          </w:p>
        </w:tc>
        <w:tc>
          <w:tcPr>
            <w:tcW w:w="149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cs="宋体"/>
                <w:b w:val="0"/>
                <w:bCs/>
                <w:kern w:val="0"/>
                <w:szCs w:val="21"/>
              </w:rPr>
            </w:pPr>
            <w:r>
              <w:rPr>
                <w:rFonts w:hint="eastAsia" w:ascii="宋体" w:hAnsi="宋体"/>
                <w:b w:val="0"/>
                <w:bCs/>
                <w:szCs w:val="21"/>
                <w:lang w:val="en-US" w:eastAsia="zh-CN"/>
              </w:rPr>
              <w:t>4</w:t>
            </w:r>
          </w:p>
        </w:tc>
        <w:tc>
          <w:tcPr>
            <w:tcW w:w="1165"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ascii="宋体" w:hAnsi="宋体" w:cs="宋体"/>
                <w:b w:val="0"/>
                <w:bCs/>
                <w:kern w:val="0"/>
                <w:szCs w:val="21"/>
              </w:rPr>
            </w:pPr>
          </w:p>
        </w:tc>
        <w:tc>
          <w:tcPr>
            <w:tcW w:w="126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ascii="宋体" w:hAnsi="宋体" w:cs="宋体"/>
                <w:b w:val="0"/>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7" w:hRule="atLeast"/>
          <w:tblHeader/>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val="0"/>
                <w:bCs/>
                <w:kern w:val="0"/>
                <w:szCs w:val="21"/>
                <w:lang w:val="en-US" w:eastAsia="zh-CN"/>
              </w:rPr>
            </w:pPr>
            <w:r>
              <w:rPr>
                <w:rFonts w:hint="eastAsia" w:ascii="宋体" w:hAnsi="宋体" w:cs="宋体"/>
                <w:b w:val="0"/>
                <w:bCs/>
                <w:kern w:val="0"/>
                <w:szCs w:val="21"/>
                <w:lang w:val="en-US" w:eastAsia="zh-CN"/>
              </w:rPr>
              <w:t>2</w:t>
            </w:r>
          </w:p>
        </w:tc>
        <w:tc>
          <w:tcPr>
            <w:tcW w:w="224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val="0"/>
                <w:bCs/>
                <w:szCs w:val="21"/>
              </w:rPr>
            </w:pPr>
            <w:r>
              <w:rPr>
                <w:rFonts w:hint="eastAsia" w:ascii="宋体" w:hAnsi="宋体"/>
                <w:b w:val="0"/>
                <w:bCs/>
                <w:szCs w:val="21"/>
                <w:lang w:val="en-US" w:eastAsia="zh-CN"/>
              </w:rPr>
              <w:t>翼闸（双机芯）</w:t>
            </w:r>
          </w:p>
        </w:tc>
        <w:tc>
          <w:tcPr>
            <w:tcW w:w="90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cs="宋体"/>
                <w:b w:val="0"/>
                <w:bCs/>
                <w:kern w:val="0"/>
                <w:szCs w:val="21"/>
              </w:rPr>
            </w:pPr>
            <w:r>
              <w:rPr>
                <w:rFonts w:hint="eastAsia" w:ascii="宋体" w:hAnsi="宋体"/>
                <w:b w:val="0"/>
                <w:bCs/>
                <w:szCs w:val="21"/>
                <w:lang w:val="en-US" w:eastAsia="zh-CN"/>
              </w:rPr>
              <w:t>台</w:t>
            </w:r>
          </w:p>
        </w:tc>
        <w:tc>
          <w:tcPr>
            <w:tcW w:w="149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cs="宋体"/>
                <w:b w:val="0"/>
                <w:bCs/>
                <w:kern w:val="0"/>
                <w:szCs w:val="21"/>
              </w:rPr>
            </w:pPr>
            <w:r>
              <w:rPr>
                <w:rFonts w:hint="eastAsia" w:ascii="宋体" w:hAnsi="宋体"/>
                <w:b w:val="0"/>
                <w:bCs/>
                <w:szCs w:val="21"/>
                <w:lang w:val="en-US" w:eastAsia="zh-CN"/>
              </w:rPr>
              <w:t>1</w:t>
            </w:r>
          </w:p>
        </w:tc>
        <w:tc>
          <w:tcPr>
            <w:tcW w:w="1165"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ascii="宋体" w:hAnsi="宋体" w:cs="宋体"/>
                <w:b w:val="0"/>
                <w:bCs/>
                <w:kern w:val="0"/>
                <w:szCs w:val="21"/>
              </w:rPr>
            </w:pPr>
          </w:p>
        </w:tc>
        <w:tc>
          <w:tcPr>
            <w:tcW w:w="126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ascii="宋体" w:hAnsi="宋体" w:cs="宋体"/>
                <w:b w:val="0"/>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exact"/>
          <w:jc w:val="center"/>
        </w:trPr>
        <w:tc>
          <w:tcPr>
            <w:tcW w:w="752" w:type="dxa"/>
            <w:tcBorders>
              <w:top w:val="single" w:color="auto" w:sz="4" w:space="0"/>
              <w:left w:val="single" w:color="auto" w:sz="4" w:space="0"/>
              <w:bottom w:val="single" w:color="auto" w:sz="4" w:space="0"/>
              <w:right w:val="single" w:color="auto" w:sz="4" w:space="0"/>
            </w:tcBorders>
          </w:tcPr>
          <w:p>
            <w:pPr>
              <w:spacing w:line="400" w:lineRule="exact"/>
              <w:jc w:val="center"/>
              <w:rPr>
                <w:rFonts w:hint="eastAsia" w:ascii="宋体" w:hAnsi="宋体" w:eastAsia="宋体"/>
                <w:szCs w:val="21"/>
                <w:lang w:eastAsia="zh-CN"/>
              </w:rPr>
            </w:pPr>
            <w:r>
              <w:rPr>
                <w:rFonts w:hint="eastAsia" w:ascii="宋体" w:hAnsi="宋体"/>
                <w:szCs w:val="21"/>
                <w:lang w:val="en-US" w:eastAsia="zh-CN"/>
              </w:rPr>
              <w:t>3</w:t>
            </w:r>
          </w:p>
        </w:tc>
        <w:tc>
          <w:tcPr>
            <w:tcW w:w="224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专用电源+空开</w:t>
            </w:r>
          </w:p>
        </w:tc>
        <w:tc>
          <w:tcPr>
            <w:tcW w:w="90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lang w:val="en-US" w:eastAsia="zh-CN"/>
              </w:rPr>
              <w:t>个</w:t>
            </w:r>
          </w:p>
        </w:tc>
        <w:tc>
          <w:tcPr>
            <w:tcW w:w="149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lang w:val="en-US" w:eastAsia="zh-CN"/>
              </w:rPr>
              <w:t>3</w:t>
            </w:r>
          </w:p>
        </w:tc>
        <w:tc>
          <w:tcPr>
            <w:tcW w:w="1165"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ascii="宋体" w:hAnsi="宋体" w:cs="宋体"/>
                <w:kern w:val="0"/>
                <w:szCs w:val="21"/>
              </w:rPr>
            </w:pPr>
          </w:p>
        </w:tc>
        <w:tc>
          <w:tcPr>
            <w:tcW w:w="126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2" w:hRule="exac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Cs w:val="21"/>
                <w:lang w:eastAsia="zh-CN"/>
              </w:rPr>
            </w:pPr>
            <w:r>
              <w:rPr>
                <w:rFonts w:hint="eastAsia" w:ascii="宋体" w:hAnsi="宋体" w:cs="宋体"/>
                <w:kern w:val="0"/>
                <w:szCs w:val="21"/>
                <w:lang w:val="en-US" w:eastAsia="zh-CN"/>
              </w:rPr>
              <w:t>4</w:t>
            </w:r>
          </w:p>
        </w:tc>
        <w:tc>
          <w:tcPr>
            <w:tcW w:w="224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网络版闸机控制板</w:t>
            </w:r>
          </w:p>
        </w:tc>
        <w:tc>
          <w:tcPr>
            <w:tcW w:w="90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szCs w:val="21"/>
                <w:lang w:val="en-US" w:eastAsia="zh-CN"/>
              </w:rPr>
              <w:t>块</w:t>
            </w:r>
          </w:p>
        </w:tc>
        <w:tc>
          <w:tcPr>
            <w:tcW w:w="149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lang w:val="en-US" w:eastAsia="zh-CN"/>
              </w:rPr>
              <w:t>3</w:t>
            </w:r>
          </w:p>
        </w:tc>
        <w:tc>
          <w:tcPr>
            <w:tcW w:w="1165"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ascii="宋体" w:hAnsi="宋体" w:cs="宋体"/>
                <w:kern w:val="0"/>
                <w:szCs w:val="21"/>
              </w:rPr>
            </w:pPr>
          </w:p>
        </w:tc>
        <w:tc>
          <w:tcPr>
            <w:tcW w:w="126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cs="宋体"/>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8" w:hRule="exac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Cs w:val="21"/>
                <w:lang w:eastAsia="zh-CN"/>
              </w:rPr>
            </w:pPr>
            <w:r>
              <w:rPr>
                <w:rFonts w:hint="eastAsia" w:ascii="宋体" w:hAnsi="宋体" w:cs="宋体"/>
                <w:kern w:val="0"/>
                <w:szCs w:val="21"/>
                <w:lang w:val="en-US" w:eastAsia="zh-CN"/>
              </w:rPr>
              <w:t>5</w:t>
            </w:r>
          </w:p>
        </w:tc>
        <w:tc>
          <w:tcPr>
            <w:tcW w:w="224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szCs w:val="21"/>
              </w:rPr>
            </w:pPr>
            <w:r>
              <w:rPr>
                <w:rFonts w:hint="eastAsia" w:ascii="宋体" w:hAnsi="宋体"/>
                <w:szCs w:val="21"/>
              </w:rPr>
              <w:t>人脸识别+指纹 门禁</w:t>
            </w:r>
          </w:p>
        </w:tc>
        <w:tc>
          <w:tcPr>
            <w:tcW w:w="90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szCs w:val="21"/>
              </w:rPr>
            </w:pPr>
            <w:r>
              <w:rPr>
                <w:rFonts w:hint="eastAsia" w:ascii="宋体" w:hAnsi="宋体"/>
                <w:szCs w:val="21"/>
                <w:lang w:val="en-US" w:eastAsia="zh-CN"/>
              </w:rPr>
              <w:t>台</w:t>
            </w:r>
          </w:p>
        </w:tc>
        <w:tc>
          <w:tcPr>
            <w:tcW w:w="149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szCs w:val="21"/>
              </w:rPr>
            </w:pPr>
            <w:r>
              <w:rPr>
                <w:rFonts w:hint="eastAsia" w:ascii="宋体" w:hAnsi="宋体"/>
                <w:szCs w:val="21"/>
                <w:lang w:val="en-US" w:eastAsia="zh-CN"/>
              </w:rPr>
              <w:t>6</w:t>
            </w:r>
          </w:p>
        </w:tc>
        <w:tc>
          <w:tcPr>
            <w:tcW w:w="1165"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ascii="宋体" w:hAnsi="宋体" w:cs="宋体"/>
                <w:kern w:val="0"/>
                <w:szCs w:val="21"/>
              </w:rPr>
            </w:pPr>
          </w:p>
        </w:tc>
        <w:tc>
          <w:tcPr>
            <w:tcW w:w="126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6" w:hRule="exac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6</w:t>
            </w:r>
          </w:p>
        </w:tc>
        <w:tc>
          <w:tcPr>
            <w:tcW w:w="224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szCs w:val="21"/>
              </w:rPr>
            </w:pPr>
            <w:r>
              <w:rPr>
                <w:rFonts w:hint="eastAsia" w:ascii="宋体" w:hAnsi="宋体"/>
                <w:szCs w:val="21"/>
              </w:rPr>
              <w:t>多模激光扫描仪</w:t>
            </w:r>
          </w:p>
        </w:tc>
        <w:tc>
          <w:tcPr>
            <w:tcW w:w="90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szCs w:val="21"/>
              </w:rPr>
            </w:pPr>
            <w:r>
              <w:rPr>
                <w:rFonts w:hint="eastAsia" w:ascii="宋体" w:hAnsi="宋体"/>
                <w:szCs w:val="21"/>
                <w:lang w:val="en-US" w:eastAsia="zh-CN"/>
              </w:rPr>
              <w:t>台</w:t>
            </w:r>
          </w:p>
        </w:tc>
        <w:tc>
          <w:tcPr>
            <w:tcW w:w="149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szCs w:val="21"/>
              </w:rPr>
            </w:pPr>
            <w:r>
              <w:rPr>
                <w:rFonts w:hint="eastAsia" w:ascii="宋体" w:hAnsi="宋体"/>
                <w:szCs w:val="21"/>
                <w:lang w:val="en-US" w:eastAsia="zh-CN"/>
              </w:rPr>
              <w:t>6</w:t>
            </w:r>
          </w:p>
        </w:tc>
        <w:tc>
          <w:tcPr>
            <w:tcW w:w="1165"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ascii="宋体" w:hAnsi="宋体" w:cs="宋体"/>
                <w:kern w:val="0"/>
                <w:szCs w:val="21"/>
              </w:rPr>
            </w:pPr>
          </w:p>
        </w:tc>
        <w:tc>
          <w:tcPr>
            <w:tcW w:w="126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exac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8</w:t>
            </w:r>
          </w:p>
        </w:tc>
        <w:tc>
          <w:tcPr>
            <w:tcW w:w="224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eastAsia="宋体"/>
                <w:szCs w:val="21"/>
                <w:lang w:eastAsia="zh-CN"/>
              </w:rPr>
            </w:pPr>
            <w:r>
              <w:rPr>
                <w:rFonts w:hint="eastAsia" w:ascii="宋体" w:hAnsi="宋体"/>
                <w:szCs w:val="21"/>
              </w:rPr>
              <w:t>门禁安全系统软件(带狗)</w:t>
            </w:r>
          </w:p>
        </w:tc>
        <w:tc>
          <w:tcPr>
            <w:tcW w:w="90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szCs w:val="21"/>
              </w:rPr>
            </w:pPr>
            <w:r>
              <w:rPr>
                <w:rFonts w:hint="eastAsia" w:ascii="宋体" w:hAnsi="宋体"/>
                <w:szCs w:val="21"/>
                <w:lang w:val="en-US" w:eastAsia="zh-CN"/>
              </w:rPr>
              <w:t>套</w:t>
            </w:r>
          </w:p>
        </w:tc>
        <w:tc>
          <w:tcPr>
            <w:tcW w:w="149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szCs w:val="21"/>
              </w:rPr>
            </w:pPr>
            <w:r>
              <w:rPr>
                <w:rFonts w:hint="eastAsia" w:ascii="宋体" w:hAnsi="宋体"/>
                <w:szCs w:val="21"/>
                <w:lang w:val="en-US" w:eastAsia="zh-CN"/>
              </w:rPr>
              <w:t>2</w:t>
            </w:r>
          </w:p>
        </w:tc>
        <w:tc>
          <w:tcPr>
            <w:tcW w:w="1165"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ascii="宋体" w:hAnsi="宋体" w:cs="宋体"/>
                <w:kern w:val="0"/>
                <w:szCs w:val="21"/>
              </w:rPr>
            </w:pPr>
          </w:p>
        </w:tc>
        <w:tc>
          <w:tcPr>
            <w:tcW w:w="126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exac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9</w:t>
            </w:r>
          </w:p>
        </w:tc>
        <w:tc>
          <w:tcPr>
            <w:tcW w:w="224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eastAsia="宋体"/>
                <w:szCs w:val="21"/>
                <w:lang w:eastAsia="zh-CN"/>
              </w:rPr>
            </w:pPr>
            <w:r>
              <w:rPr>
                <w:rFonts w:hint="eastAsia" w:ascii="宋体" w:hAnsi="宋体"/>
                <w:szCs w:val="21"/>
                <w:lang w:val="en-US" w:eastAsia="zh-CN"/>
              </w:rPr>
              <w:t>电源线</w:t>
            </w:r>
          </w:p>
        </w:tc>
        <w:tc>
          <w:tcPr>
            <w:tcW w:w="90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szCs w:val="21"/>
              </w:rPr>
            </w:pPr>
            <w:r>
              <w:rPr>
                <w:rFonts w:hint="eastAsia" w:ascii="宋体" w:hAnsi="宋体"/>
                <w:szCs w:val="21"/>
                <w:lang w:val="en-US" w:eastAsia="zh-CN"/>
              </w:rPr>
              <w:t>卷</w:t>
            </w:r>
          </w:p>
        </w:tc>
        <w:tc>
          <w:tcPr>
            <w:tcW w:w="149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szCs w:val="21"/>
              </w:rPr>
            </w:pPr>
            <w:r>
              <w:rPr>
                <w:rFonts w:hint="eastAsia" w:ascii="宋体" w:hAnsi="宋体"/>
                <w:szCs w:val="21"/>
                <w:lang w:val="en-US" w:eastAsia="zh-CN"/>
              </w:rPr>
              <w:t>3</w:t>
            </w:r>
          </w:p>
        </w:tc>
        <w:tc>
          <w:tcPr>
            <w:tcW w:w="1165"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ascii="宋体" w:hAnsi="宋体" w:cs="宋体"/>
                <w:kern w:val="0"/>
                <w:szCs w:val="21"/>
              </w:rPr>
            </w:pPr>
          </w:p>
        </w:tc>
        <w:tc>
          <w:tcPr>
            <w:tcW w:w="126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exac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10</w:t>
            </w:r>
          </w:p>
        </w:tc>
        <w:tc>
          <w:tcPr>
            <w:tcW w:w="224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eastAsia="宋体"/>
                <w:szCs w:val="21"/>
                <w:lang w:val="en-US" w:eastAsia="zh-CN"/>
              </w:rPr>
            </w:pPr>
            <w:r>
              <w:rPr>
                <w:rFonts w:hint="eastAsia" w:ascii="宋体" w:hAnsi="宋体"/>
                <w:szCs w:val="21"/>
                <w:lang w:val="en-US" w:eastAsia="zh-CN"/>
              </w:rPr>
              <w:t>通讯线</w:t>
            </w:r>
          </w:p>
        </w:tc>
        <w:tc>
          <w:tcPr>
            <w:tcW w:w="90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szCs w:val="21"/>
                <w:lang w:val="en-US" w:eastAsia="zh-CN"/>
              </w:rPr>
            </w:pPr>
            <w:r>
              <w:rPr>
                <w:rFonts w:hint="eastAsia" w:ascii="宋体" w:hAnsi="宋体"/>
                <w:szCs w:val="21"/>
                <w:lang w:val="en-US" w:eastAsia="zh-CN"/>
              </w:rPr>
              <w:t>卷</w:t>
            </w:r>
          </w:p>
        </w:tc>
        <w:tc>
          <w:tcPr>
            <w:tcW w:w="149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szCs w:val="21"/>
                <w:lang w:val="en-US" w:eastAsia="zh-CN"/>
              </w:rPr>
            </w:pPr>
            <w:r>
              <w:rPr>
                <w:rFonts w:hint="eastAsia" w:ascii="宋体" w:hAnsi="宋体"/>
                <w:szCs w:val="21"/>
                <w:lang w:val="en-US" w:eastAsia="zh-CN"/>
              </w:rPr>
              <w:t>3</w:t>
            </w:r>
          </w:p>
        </w:tc>
        <w:tc>
          <w:tcPr>
            <w:tcW w:w="1165"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c>
          <w:tcPr>
            <w:tcW w:w="126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exac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11</w:t>
            </w:r>
          </w:p>
        </w:tc>
        <w:tc>
          <w:tcPr>
            <w:tcW w:w="224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szCs w:val="21"/>
              </w:rPr>
            </w:pPr>
            <w:r>
              <w:rPr>
                <w:rFonts w:hint="eastAsia" w:ascii="宋体" w:hAnsi="宋体"/>
                <w:szCs w:val="21"/>
                <w:lang w:val="en-US" w:eastAsia="zh-CN"/>
              </w:rPr>
              <w:t>网线</w:t>
            </w:r>
          </w:p>
        </w:tc>
        <w:tc>
          <w:tcPr>
            <w:tcW w:w="90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szCs w:val="21"/>
                <w:lang w:val="en-US" w:eastAsia="zh-CN"/>
              </w:rPr>
            </w:pPr>
            <w:r>
              <w:rPr>
                <w:rFonts w:hint="eastAsia" w:ascii="宋体" w:hAnsi="宋体"/>
                <w:szCs w:val="21"/>
                <w:lang w:val="en-US" w:eastAsia="zh-CN"/>
              </w:rPr>
              <w:t>箱</w:t>
            </w:r>
          </w:p>
        </w:tc>
        <w:tc>
          <w:tcPr>
            <w:tcW w:w="149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szCs w:val="21"/>
                <w:lang w:val="en-US" w:eastAsia="zh-CN"/>
              </w:rPr>
            </w:pPr>
            <w:r>
              <w:rPr>
                <w:rFonts w:hint="eastAsia" w:ascii="宋体" w:hAnsi="宋体"/>
                <w:szCs w:val="21"/>
                <w:lang w:val="en-US" w:eastAsia="zh-CN"/>
              </w:rPr>
              <w:t>1</w:t>
            </w:r>
          </w:p>
        </w:tc>
        <w:tc>
          <w:tcPr>
            <w:tcW w:w="1165"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c>
          <w:tcPr>
            <w:tcW w:w="126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exac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kern w:val="0"/>
                <w:szCs w:val="21"/>
                <w:lang w:val="en-US" w:eastAsia="zh-CN"/>
              </w:rPr>
            </w:pPr>
          </w:p>
        </w:tc>
        <w:tc>
          <w:tcPr>
            <w:tcW w:w="224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szCs w:val="21"/>
                <w:lang w:val="en-US" w:eastAsia="zh-CN"/>
              </w:rPr>
            </w:pPr>
            <w:r>
              <w:rPr>
                <w:rFonts w:hint="eastAsia" w:ascii="宋体" w:hAnsi="宋体"/>
                <w:szCs w:val="21"/>
                <w:lang w:val="en-US" w:eastAsia="zh-CN"/>
              </w:rPr>
              <w:t>合计</w:t>
            </w:r>
          </w:p>
        </w:tc>
        <w:tc>
          <w:tcPr>
            <w:tcW w:w="90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szCs w:val="21"/>
                <w:lang w:val="en-US" w:eastAsia="zh-CN"/>
              </w:rPr>
            </w:pPr>
          </w:p>
        </w:tc>
        <w:tc>
          <w:tcPr>
            <w:tcW w:w="149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szCs w:val="21"/>
                <w:lang w:val="en-US" w:eastAsia="zh-CN"/>
              </w:rPr>
            </w:pPr>
            <w:bookmarkStart w:id="12" w:name="_GoBack"/>
            <w:bookmarkEnd w:id="12"/>
          </w:p>
        </w:tc>
        <w:tc>
          <w:tcPr>
            <w:tcW w:w="1165"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cs="宋体"/>
                <w:i w:val="0"/>
                <w:color w:val="000000"/>
                <w:kern w:val="0"/>
                <w:sz w:val="22"/>
                <w:szCs w:val="22"/>
                <w:u w:val="none"/>
                <w:lang w:val="en-US" w:eastAsia="zh-CN" w:bidi="ar"/>
              </w:rPr>
            </w:pPr>
          </w:p>
        </w:tc>
        <w:tc>
          <w:tcPr>
            <w:tcW w:w="126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cs="宋体"/>
                <w:i w:val="0"/>
                <w:color w:val="000000"/>
                <w:kern w:val="0"/>
                <w:sz w:val="22"/>
                <w:szCs w:val="22"/>
                <w:u w:val="none"/>
                <w:lang w:val="en-US" w:eastAsia="zh-CN" w:bidi="ar"/>
              </w:rPr>
            </w:pPr>
          </w:p>
        </w:tc>
      </w:tr>
    </w:tbl>
    <w:p>
      <w:pPr>
        <w:adjustRightInd w:val="0"/>
        <w:snapToGrid w:val="0"/>
        <w:spacing w:before="312" w:beforeLines="100" w:after="312" w:afterLines="100" w:line="360" w:lineRule="auto"/>
        <w:rPr>
          <w:b/>
          <w:szCs w:val="21"/>
        </w:rPr>
      </w:pPr>
      <w:r>
        <w:rPr>
          <w:rFonts w:hint="eastAsia"/>
          <w:b/>
          <w:szCs w:val="21"/>
        </w:rPr>
        <w:t>二、工作环境</w:t>
      </w:r>
    </w:p>
    <w:p>
      <w:pPr>
        <w:adjustRightInd w:val="0"/>
        <w:snapToGrid w:val="0"/>
        <w:spacing w:line="360" w:lineRule="auto"/>
        <w:rPr>
          <w:rFonts w:ascii="宋体"/>
          <w:szCs w:val="21"/>
        </w:rPr>
      </w:pPr>
      <w:r>
        <w:rPr>
          <w:rFonts w:ascii="宋体" w:hAnsi="宋体"/>
          <w:szCs w:val="21"/>
        </w:rPr>
        <w:t xml:space="preserve">1. </w:t>
      </w:r>
      <w:r>
        <w:rPr>
          <w:rFonts w:hint="eastAsia" w:ascii="宋体" w:hAnsi="宋体"/>
          <w:szCs w:val="21"/>
        </w:rPr>
        <w:t>工作环境</w:t>
      </w:r>
    </w:p>
    <w:p>
      <w:pPr>
        <w:adjustRightInd w:val="0"/>
        <w:snapToGrid w:val="0"/>
        <w:spacing w:line="360" w:lineRule="auto"/>
        <w:ind w:left="707" w:leftChars="135" w:hanging="424" w:hangingChars="202"/>
        <w:rPr>
          <w:rFonts w:ascii="宋体"/>
          <w:szCs w:val="21"/>
        </w:rPr>
      </w:pPr>
      <w:r>
        <w:rPr>
          <w:rFonts w:hint="eastAsia" w:ascii="宋体" w:hAnsi="宋体"/>
          <w:szCs w:val="21"/>
        </w:rPr>
        <w:t>在</w:t>
      </w:r>
      <w:r>
        <w:rPr>
          <w:rFonts w:hint="eastAsia" w:ascii="宋体" w:hAnsi="宋体"/>
          <w:szCs w:val="21"/>
          <w:lang w:val="en-US" w:eastAsia="zh-CN"/>
        </w:rPr>
        <w:t>信息管理中心</w:t>
      </w:r>
      <w:r>
        <w:rPr>
          <w:rFonts w:hint="eastAsia" w:ascii="宋体" w:hAnsi="宋体"/>
          <w:szCs w:val="21"/>
        </w:rPr>
        <w:t>使用。</w:t>
      </w:r>
    </w:p>
    <w:p>
      <w:pPr>
        <w:adjustRightInd w:val="0"/>
        <w:snapToGrid w:val="0"/>
        <w:spacing w:line="360" w:lineRule="auto"/>
        <w:ind w:left="707" w:leftChars="135" w:hanging="424" w:hangingChars="202"/>
        <w:rPr>
          <w:rFonts w:ascii="宋体"/>
          <w:szCs w:val="21"/>
        </w:rPr>
      </w:pPr>
      <w:r>
        <w:rPr>
          <w:rFonts w:hint="eastAsia" w:ascii="宋体" w:hAnsi="宋体"/>
          <w:szCs w:val="21"/>
        </w:rPr>
        <w:t>最高温度：</w:t>
      </w:r>
      <w:r>
        <w:rPr>
          <w:rFonts w:ascii="宋体" w:hAnsi="宋体"/>
          <w:szCs w:val="21"/>
          <w:u w:val="single"/>
        </w:rPr>
        <w:t xml:space="preserve">   +40</w:t>
      </w:r>
      <w:r>
        <w:rPr>
          <w:rFonts w:hint="eastAsia" w:ascii="宋体" w:hAnsi="宋体"/>
          <w:szCs w:val="21"/>
          <w:u w:val="single"/>
        </w:rPr>
        <w:t>℃</w:t>
      </w:r>
      <w:r>
        <w:rPr>
          <w:rFonts w:hint="eastAsia" w:ascii="宋体" w:hAnsi="宋体"/>
          <w:szCs w:val="21"/>
        </w:rPr>
        <w:t>。</w:t>
      </w:r>
    </w:p>
    <w:p>
      <w:pPr>
        <w:adjustRightInd w:val="0"/>
        <w:snapToGrid w:val="0"/>
        <w:spacing w:line="360" w:lineRule="auto"/>
        <w:ind w:left="707" w:leftChars="135" w:hanging="424" w:hangingChars="202"/>
        <w:rPr>
          <w:rFonts w:ascii="宋体"/>
          <w:szCs w:val="21"/>
        </w:rPr>
      </w:pPr>
      <w:r>
        <w:rPr>
          <w:rFonts w:hint="eastAsia" w:ascii="宋体" w:hAnsi="宋体"/>
          <w:szCs w:val="21"/>
        </w:rPr>
        <w:t>最低温度：</w:t>
      </w:r>
      <w:r>
        <w:rPr>
          <w:rFonts w:ascii="宋体" w:hAnsi="宋体"/>
          <w:szCs w:val="21"/>
          <w:u w:val="single"/>
        </w:rPr>
        <w:t xml:space="preserve">   -30</w:t>
      </w:r>
      <w:r>
        <w:rPr>
          <w:rFonts w:hint="eastAsia" w:ascii="宋体" w:hAnsi="宋体"/>
          <w:szCs w:val="21"/>
          <w:u w:val="single"/>
        </w:rPr>
        <w:t>℃</w:t>
      </w:r>
      <w:r>
        <w:rPr>
          <w:rFonts w:hint="eastAsia" w:ascii="宋体" w:hAnsi="宋体"/>
          <w:szCs w:val="21"/>
        </w:rPr>
        <w:t>。</w:t>
      </w:r>
    </w:p>
    <w:p>
      <w:pPr>
        <w:adjustRightInd w:val="0"/>
        <w:snapToGrid w:val="0"/>
        <w:spacing w:line="360" w:lineRule="auto"/>
        <w:ind w:left="707" w:leftChars="135" w:hanging="424" w:hangingChars="202"/>
        <w:rPr>
          <w:rFonts w:ascii="宋体"/>
          <w:szCs w:val="21"/>
        </w:rPr>
      </w:pPr>
      <w:r>
        <w:rPr>
          <w:rFonts w:hint="eastAsia" w:ascii="宋体" w:hAnsi="宋体"/>
          <w:szCs w:val="21"/>
        </w:rPr>
        <w:t>年平均气温：</w:t>
      </w:r>
      <w:r>
        <w:rPr>
          <w:rFonts w:ascii="宋体" w:hAnsi="宋体"/>
          <w:szCs w:val="21"/>
          <w:u w:val="single"/>
        </w:rPr>
        <w:t xml:space="preserve">  +15</w:t>
      </w:r>
      <w:r>
        <w:rPr>
          <w:rFonts w:hint="eastAsia" w:ascii="宋体" w:hAnsi="宋体"/>
          <w:szCs w:val="21"/>
          <w:u w:val="single"/>
        </w:rPr>
        <w:t>℃</w:t>
      </w:r>
      <w:r>
        <w:rPr>
          <w:rFonts w:hint="eastAsia" w:ascii="宋体" w:hAnsi="宋体"/>
          <w:szCs w:val="21"/>
        </w:rPr>
        <w:t>。</w:t>
      </w:r>
    </w:p>
    <w:p>
      <w:pPr>
        <w:adjustRightInd w:val="0"/>
        <w:snapToGrid w:val="0"/>
        <w:spacing w:line="360" w:lineRule="auto"/>
        <w:ind w:left="707" w:leftChars="135" w:hanging="424" w:hangingChars="202"/>
        <w:rPr>
          <w:rFonts w:ascii="宋体"/>
          <w:szCs w:val="21"/>
        </w:rPr>
      </w:pPr>
      <w:r>
        <w:rPr>
          <w:rFonts w:hint="eastAsia" w:ascii="宋体" w:hAnsi="宋体"/>
          <w:szCs w:val="21"/>
        </w:rPr>
        <w:t>环境相对湿度：</w:t>
      </w:r>
      <w:r>
        <w:rPr>
          <w:rFonts w:ascii="宋体" w:hAnsi="宋体"/>
          <w:spacing w:val="-5"/>
          <w:kern w:val="0"/>
          <w:sz w:val="24"/>
          <w:szCs w:val="20"/>
          <w:u w:val="single"/>
        </w:rPr>
        <w:t>95</w:t>
      </w:r>
      <w:r>
        <w:rPr>
          <w:rFonts w:hint="eastAsia" w:ascii="宋体" w:hAnsi="宋体"/>
          <w:spacing w:val="-5"/>
          <w:kern w:val="0"/>
          <w:sz w:val="24"/>
          <w:szCs w:val="20"/>
          <w:u w:val="single"/>
        </w:rPr>
        <w:t>％</w:t>
      </w:r>
      <w:r>
        <w:rPr>
          <w:rFonts w:hint="eastAsia" w:ascii="宋体" w:hAnsi="宋体"/>
          <w:szCs w:val="21"/>
        </w:rPr>
        <w:t>。</w:t>
      </w:r>
    </w:p>
    <w:p>
      <w:pPr>
        <w:adjustRightInd w:val="0"/>
        <w:snapToGrid w:val="0"/>
        <w:spacing w:line="360" w:lineRule="auto"/>
        <w:ind w:left="707" w:leftChars="135" w:hanging="424" w:hangingChars="202"/>
        <w:rPr>
          <w:rFonts w:ascii="宋体"/>
          <w:szCs w:val="21"/>
        </w:rPr>
      </w:pPr>
      <w:r>
        <w:rPr>
          <w:rFonts w:hint="eastAsia" w:ascii="宋体" w:hAnsi="宋体"/>
          <w:szCs w:val="21"/>
        </w:rPr>
        <w:t>地震烈度：</w:t>
      </w:r>
      <w:r>
        <w:rPr>
          <w:rFonts w:ascii="宋体" w:hAnsi="宋体"/>
          <w:szCs w:val="21"/>
          <w:u w:val="single"/>
        </w:rPr>
        <w:t xml:space="preserve">     7</w:t>
      </w:r>
      <w:r>
        <w:rPr>
          <w:rFonts w:hint="eastAsia" w:ascii="宋体" w:hAnsi="宋体"/>
          <w:szCs w:val="21"/>
          <w:u w:val="single"/>
        </w:rPr>
        <w:t>级</w:t>
      </w:r>
      <w:r>
        <w:rPr>
          <w:rFonts w:hint="eastAsia" w:ascii="宋体" w:hAnsi="宋体"/>
          <w:szCs w:val="21"/>
        </w:rPr>
        <w:t>。</w:t>
      </w:r>
    </w:p>
    <w:p>
      <w:pPr>
        <w:adjustRightInd w:val="0"/>
        <w:snapToGrid w:val="0"/>
        <w:spacing w:line="360" w:lineRule="auto"/>
        <w:ind w:left="707" w:leftChars="135" w:hanging="424" w:hangingChars="202"/>
        <w:rPr>
          <w:rFonts w:ascii="宋体"/>
          <w:szCs w:val="21"/>
        </w:rPr>
      </w:pPr>
      <w:r>
        <w:rPr>
          <w:rFonts w:hint="eastAsia" w:ascii="宋体" w:hAnsi="宋体"/>
          <w:szCs w:val="21"/>
        </w:rPr>
        <w:t>海拔高度：</w:t>
      </w:r>
      <w:r>
        <w:rPr>
          <w:rFonts w:hint="eastAsia" w:ascii="宋体" w:hAnsi="宋体"/>
          <w:spacing w:val="-5"/>
          <w:kern w:val="0"/>
          <w:sz w:val="24"/>
          <w:szCs w:val="20"/>
          <w:u w:val="single"/>
        </w:rPr>
        <w:t>≤</w:t>
      </w:r>
      <w:r>
        <w:rPr>
          <w:rFonts w:ascii="宋体" w:hAnsi="宋体"/>
          <w:spacing w:val="-5"/>
          <w:kern w:val="0"/>
          <w:sz w:val="24"/>
          <w:szCs w:val="20"/>
          <w:u w:val="single"/>
        </w:rPr>
        <w:t xml:space="preserve">1400m  </w:t>
      </w:r>
      <w:r>
        <w:rPr>
          <w:rFonts w:hint="eastAsia" w:ascii="宋体" w:hAnsi="宋体"/>
          <w:szCs w:val="21"/>
        </w:rPr>
        <w:t>。</w:t>
      </w:r>
    </w:p>
    <w:p>
      <w:pPr>
        <w:adjustRightInd w:val="0"/>
        <w:snapToGrid w:val="0"/>
        <w:spacing w:before="312" w:beforeLines="100" w:after="312" w:afterLines="100" w:line="360" w:lineRule="auto"/>
        <w:rPr>
          <w:b/>
          <w:szCs w:val="21"/>
        </w:rPr>
      </w:pPr>
      <w:r>
        <w:rPr>
          <w:rFonts w:hint="eastAsia"/>
          <w:b/>
          <w:szCs w:val="21"/>
        </w:rPr>
        <w:t>三、技术参数及要求</w:t>
      </w:r>
    </w:p>
    <w:p>
      <w:pPr>
        <w:pStyle w:val="22"/>
        <w:tabs>
          <w:tab w:val="left" w:pos="550"/>
        </w:tabs>
        <w:adjustRightInd w:val="0"/>
        <w:snapToGrid w:val="0"/>
        <w:spacing w:line="360" w:lineRule="auto"/>
        <w:ind w:left="546" w:leftChars="200" w:hanging="126" w:hangingChars="60"/>
        <w:rPr>
          <w:rFonts w:ascii="Tahoma" w:hAnsi="Tahoma" w:cs="Tahoma"/>
          <w:color w:val="000000"/>
          <w:sz w:val="21"/>
          <w:szCs w:val="21"/>
        </w:rPr>
      </w:pPr>
      <w:r>
        <w:rPr>
          <w:rFonts w:ascii="Tahoma" w:hAnsi="Tahoma" w:cs="Tahoma"/>
          <w:color w:val="000000"/>
          <w:sz w:val="21"/>
          <w:szCs w:val="21"/>
        </w:rPr>
        <w:t xml:space="preserve">1. </w:t>
      </w:r>
      <w:r>
        <w:rPr>
          <w:rFonts w:hint="eastAsia" w:ascii="Tahoma" w:hAnsi="Tahoma" w:cs="Tahoma"/>
          <w:color w:val="000000"/>
          <w:sz w:val="21"/>
          <w:szCs w:val="21"/>
        </w:rPr>
        <w:t>技术参数</w:t>
      </w:r>
    </w:p>
    <w:p>
      <w:pPr>
        <w:pStyle w:val="22"/>
        <w:tabs>
          <w:tab w:val="left" w:pos="550"/>
        </w:tabs>
        <w:adjustRightInd w:val="0"/>
        <w:snapToGrid w:val="0"/>
        <w:spacing w:line="360" w:lineRule="auto"/>
        <w:ind w:left="546" w:leftChars="200" w:hanging="126" w:hangingChars="60"/>
        <w:rPr>
          <w:rFonts w:hint="eastAsia" w:ascii="Tahoma" w:hAnsi="Tahoma" w:cs="Tahoma"/>
          <w:color w:val="000000"/>
          <w:sz w:val="21"/>
          <w:szCs w:val="21"/>
        </w:rPr>
      </w:pPr>
      <w:r>
        <w:rPr>
          <w:rFonts w:ascii="Tahoma" w:hAnsi="Tahoma" w:cs="Tahoma"/>
          <w:color w:val="000000"/>
          <w:sz w:val="21"/>
          <w:szCs w:val="21"/>
        </w:rPr>
        <w:t>*1.</w:t>
      </w:r>
      <w:r>
        <w:rPr>
          <w:rFonts w:hint="eastAsia" w:ascii="Tahoma" w:hAnsi="Tahoma" w:cs="Tahoma"/>
          <w:color w:val="000000"/>
          <w:sz w:val="21"/>
          <w:szCs w:val="21"/>
        </w:rPr>
        <w:t>1</w:t>
      </w:r>
      <w:r>
        <w:rPr>
          <w:rFonts w:hint="eastAsia" w:ascii="Tahoma" w:hAnsi="Tahoma" w:cs="Tahoma"/>
          <w:color w:val="000000"/>
          <w:sz w:val="21"/>
          <w:szCs w:val="21"/>
          <w:lang w:val="en-US" w:eastAsia="zh-CN"/>
        </w:rPr>
        <w:t>翼闸外形尺寸</w:t>
      </w:r>
      <w:r>
        <w:rPr>
          <w:rFonts w:hint="eastAsia" w:ascii="Tahoma" w:hAnsi="Tahoma" w:cs="Tahoma"/>
          <w:color w:val="000000"/>
          <w:sz w:val="21"/>
          <w:szCs w:val="21"/>
        </w:rPr>
        <w:t>：不</w:t>
      </w:r>
      <w:r>
        <w:rPr>
          <w:rFonts w:hint="eastAsia" w:ascii="Tahoma" w:hAnsi="Tahoma" w:cs="Tahoma"/>
          <w:color w:val="000000"/>
          <w:sz w:val="21"/>
          <w:szCs w:val="21"/>
          <w:lang w:val="en-US" w:eastAsia="zh-CN"/>
        </w:rPr>
        <w:t>大</w:t>
      </w:r>
      <w:r>
        <w:rPr>
          <w:rFonts w:hint="eastAsia" w:ascii="Tahoma" w:hAnsi="Tahoma" w:cs="Tahoma"/>
          <w:color w:val="000000"/>
          <w:sz w:val="21"/>
          <w:szCs w:val="21"/>
        </w:rPr>
        <w:t>于1400×300×1050m</w:t>
      </w:r>
      <w:r>
        <w:rPr>
          <w:rFonts w:hint="eastAsia" w:ascii="Tahoma" w:hAnsi="Tahoma" w:cs="Tahoma"/>
          <w:color w:val="000000"/>
          <w:sz w:val="21"/>
          <w:szCs w:val="21"/>
          <w:lang w:val="en-US" w:eastAsia="zh-CN"/>
        </w:rPr>
        <w:t>m</w:t>
      </w:r>
      <w:r>
        <w:rPr>
          <w:rFonts w:hint="eastAsia" w:ascii="Tahoma" w:hAnsi="Tahoma" w:cs="Tahoma"/>
          <w:color w:val="000000"/>
          <w:sz w:val="21"/>
          <w:szCs w:val="21"/>
          <w:lang w:eastAsia="zh-CN"/>
        </w:rPr>
        <w:t>；</w:t>
      </w:r>
      <w:r>
        <w:rPr>
          <w:rFonts w:hint="eastAsia" w:ascii="Tahoma" w:hAnsi="Tahoma" w:cs="Tahoma"/>
          <w:color w:val="000000"/>
          <w:sz w:val="21"/>
          <w:szCs w:val="21"/>
          <w:lang w:val="en-US" w:eastAsia="zh-CN"/>
        </w:rPr>
        <w:t>板厚不小于1.5mm；激光平台整机长不小于1.4米；翼闸挡板厚度不小于20MM</w:t>
      </w:r>
    </w:p>
    <w:p>
      <w:pPr>
        <w:pStyle w:val="22"/>
        <w:tabs>
          <w:tab w:val="left" w:pos="550"/>
        </w:tabs>
        <w:adjustRightInd w:val="0"/>
        <w:snapToGrid w:val="0"/>
        <w:spacing w:line="360" w:lineRule="auto"/>
        <w:ind w:left="546" w:leftChars="200" w:hanging="126" w:hangingChars="60"/>
        <w:rPr>
          <w:rFonts w:hint="eastAsia" w:ascii="Tahoma" w:hAnsi="Tahoma" w:cs="Tahoma"/>
          <w:color w:val="000000"/>
          <w:sz w:val="21"/>
          <w:szCs w:val="21"/>
          <w:lang w:val="en-US" w:eastAsia="zh-CN"/>
        </w:rPr>
      </w:pPr>
      <w:r>
        <w:rPr>
          <w:rFonts w:ascii="Tahoma" w:hAnsi="Tahoma" w:cs="Tahoma"/>
          <w:color w:val="000000"/>
          <w:sz w:val="21"/>
          <w:szCs w:val="21"/>
        </w:rPr>
        <w:t>*1.</w:t>
      </w:r>
      <w:r>
        <w:rPr>
          <w:rFonts w:hint="eastAsia" w:ascii="Tahoma" w:hAnsi="Tahoma" w:cs="Tahoma"/>
          <w:color w:val="000000"/>
          <w:sz w:val="21"/>
          <w:szCs w:val="21"/>
        </w:rPr>
        <w:t>2</w:t>
      </w:r>
      <w:r>
        <w:rPr>
          <w:rFonts w:hint="eastAsia" w:ascii="Tahoma" w:hAnsi="Tahoma" w:cs="Tahoma"/>
          <w:color w:val="000000"/>
          <w:sz w:val="21"/>
          <w:szCs w:val="21"/>
          <w:lang w:val="en-US" w:eastAsia="zh-CN"/>
        </w:rPr>
        <w:t>翼闸材质</w:t>
      </w:r>
      <w:r>
        <w:rPr>
          <w:rFonts w:hint="eastAsia" w:ascii="Tahoma" w:hAnsi="Tahoma" w:cs="Tahoma"/>
          <w:color w:val="000000"/>
          <w:sz w:val="21"/>
          <w:szCs w:val="21"/>
        </w:rPr>
        <w:t>：不</w:t>
      </w:r>
      <w:r>
        <w:rPr>
          <w:rFonts w:hint="eastAsia" w:ascii="Tahoma" w:hAnsi="Tahoma" w:cs="Tahoma"/>
          <w:color w:val="000000"/>
          <w:sz w:val="21"/>
          <w:szCs w:val="21"/>
          <w:lang w:val="en-US" w:eastAsia="zh-CN"/>
        </w:rPr>
        <w:t>低于304不锈钢；</w:t>
      </w:r>
    </w:p>
    <w:p>
      <w:pPr>
        <w:pStyle w:val="22"/>
        <w:tabs>
          <w:tab w:val="left" w:pos="550"/>
        </w:tabs>
        <w:adjustRightInd w:val="0"/>
        <w:snapToGrid w:val="0"/>
        <w:spacing w:line="360" w:lineRule="auto"/>
        <w:ind w:left="546" w:leftChars="200" w:hanging="126" w:hangingChars="60"/>
        <w:rPr>
          <w:rFonts w:hint="eastAsia" w:ascii="Tahoma" w:hAnsi="Tahoma" w:cs="Tahoma"/>
          <w:color w:val="000000"/>
          <w:sz w:val="21"/>
          <w:szCs w:val="21"/>
        </w:rPr>
      </w:pPr>
      <w:r>
        <w:rPr>
          <w:rFonts w:hint="eastAsia" w:ascii="Tahoma" w:hAnsi="Tahoma" w:cs="Tahoma"/>
          <w:color w:val="000000"/>
          <w:sz w:val="21"/>
          <w:szCs w:val="21"/>
          <w:lang w:val="en-US" w:eastAsia="zh-CN"/>
        </w:rPr>
        <w:t>△</w:t>
      </w:r>
      <w:r>
        <w:rPr>
          <w:rFonts w:hint="eastAsia" w:ascii="Tahoma" w:hAnsi="Tahoma" w:cs="Tahoma"/>
          <w:color w:val="000000"/>
          <w:sz w:val="21"/>
          <w:szCs w:val="21"/>
        </w:rPr>
        <w:t>1.</w:t>
      </w:r>
      <w:r>
        <w:rPr>
          <w:rFonts w:hint="eastAsia" w:ascii="Tahoma" w:hAnsi="Tahoma" w:cs="Tahoma"/>
          <w:color w:val="000000"/>
          <w:sz w:val="21"/>
          <w:szCs w:val="21"/>
          <w:lang w:val="en-US" w:eastAsia="zh-CN"/>
        </w:rPr>
        <w:t>3网络版闸机控制板</w:t>
      </w:r>
      <w:r>
        <w:rPr>
          <w:rFonts w:hint="eastAsia" w:ascii="Tahoma" w:hAnsi="Tahoma" w:cs="Tahoma"/>
          <w:color w:val="000000"/>
          <w:sz w:val="21"/>
          <w:szCs w:val="21"/>
        </w:rPr>
        <w:t>：</w:t>
      </w:r>
      <w:r>
        <w:rPr>
          <w:rFonts w:hint="eastAsia" w:ascii="Tahoma" w:hAnsi="Tahoma" w:cs="Tahoma"/>
          <w:color w:val="000000"/>
          <w:sz w:val="21"/>
          <w:szCs w:val="21"/>
          <w:lang w:val="en-US" w:eastAsia="zh-CN"/>
        </w:rPr>
        <w:t>支持用户数不小于3万；记录数不小于100万；每个门的开门时间设置不小于16组，每组可用选择不同的鉴别方式（鉴别方式由卡和密码两种）；传输性能直接集成不小于10M的TCP/IP通讯。</w:t>
      </w:r>
    </w:p>
    <w:p>
      <w:pPr>
        <w:pStyle w:val="22"/>
        <w:tabs>
          <w:tab w:val="left" w:pos="550"/>
        </w:tabs>
        <w:adjustRightInd w:val="0"/>
        <w:snapToGrid w:val="0"/>
        <w:spacing w:line="360" w:lineRule="auto"/>
        <w:ind w:left="546" w:leftChars="200" w:hanging="126" w:hangingChars="60"/>
        <w:rPr>
          <w:rFonts w:hint="eastAsia" w:ascii="Tahoma" w:hAnsi="Tahoma" w:cs="Tahoma"/>
          <w:color w:val="000000"/>
          <w:sz w:val="21"/>
          <w:szCs w:val="21"/>
          <w:lang w:val="en-US" w:eastAsia="zh-CN"/>
        </w:rPr>
      </w:pPr>
      <w:r>
        <w:rPr>
          <w:rFonts w:ascii="Tahoma" w:hAnsi="Tahoma" w:cs="Tahoma"/>
          <w:color w:val="000000"/>
          <w:sz w:val="21"/>
          <w:szCs w:val="21"/>
        </w:rPr>
        <w:t>*</w:t>
      </w:r>
      <w:r>
        <w:rPr>
          <w:rFonts w:hint="eastAsia" w:ascii="Tahoma" w:hAnsi="Tahoma" w:cs="Tahoma"/>
          <w:color w:val="000000"/>
          <w:sz w:val="21"/>
          <w:szCs w:val="21"/>
        </w:rPr>
        <w:t>1.</w:t>
      </w:r>
      <w:r>
        <w:rPr>
          <w:rFonts w:hint="eastAsia" w:ascii="Tahoma" w:hAnsi="Tahoma" w:cs="Tahoma"/>
          <w:color w:val="000000"/>
          <w:sz w:val="21"/>
          <w:szCs w:val="21"/>
          <w:lang w:val="en-US" w:eastAsia="zh-CN"/>
        </w:rPr>
        <w:t>4多模激光扫描仪</w:t>
      </w:r>
      <w:r>
        <w:rPr>
          <w:rFonts w:hint="eastAsia" w:ascii="Tahoma" w:hAnsi="Tahoma" w:cs="Tahoma"/>
          <w:color w:val="000000"/>
          <w:sz w:val="21"/>
          <w:szCs w:val="21"/>
        </w:rPr>
        <w:t>：</w:t>
      </w:r>
      <w:r>
        <w:rPr>
          <w:rFonts w:hint="eastAsia" w:ascii="Tahoma" w:hAnsi="Tahoma" w:cs="Tahoma"/>
          <w:color w:val="000000"/>
          <w:sz w:val="21"/>
          <w:szCs w:val="21"/>
          <w:lang w:val="en-US" w:eastAsia="zh-CN"/>
        </w:rPr>
        <w:t>一次性至少扫描7个条码并可按所需顺序输出。</w:t>
      </w:r>
    </w:p>
    <w:p>
      <w:pPr>
        <w:pStyle w:val="22"/>
        <w:tabs>
          <w:tab w:val="left" w:pos="550"/>
        </w:tabs>
        <w:adjustRightInd w:val="0"/>
        <w:snapToGrid w:val="0"/>
        <w:spacing w:line="360" w:lineRule="auto"/>
        <w:ind w:left="546" w:leftChars="200" w:hanging="126" w:hangingChars="60"/>
        <w:rPr>
          <w:rFonts w:hint="eastAsia" w:ascii="Tahoma" w:hAnsi="Tahoma" w:cs="Tahoma"/>
          <w:color w:val="000000"/>
          <w:sz w:val="21"/>
          <w:szCs w:val="21"/>
          <w:lang w:val="en-US" w:eastAsia="zh-CN"/>
        </w:rPr>
      </w:pPr>
      <w:r>
        <w:rPr>
          <w:rFonts w:hint="eastAsia" w:ascii="Tahoma" w:hAnsi="Tahoma" w:cs="Tahoma"/>
          <w:color w:val="000000"/>
          <w:sz w:val="21"/>
          <w:szCs w:val="21"/>
          <w:lang w:val="en-US" w:eastAsia="zh-CN"/>
        </w:rPr>
        <w:t>△</w:t>
      </w:r>
      <w:r>
        <w:rPr>
          <w:rFonts w:hint="eastAsia" w:ascii="Tahoma" w:hAnsi="Tahoma" w:cs="Tahoma"/>
          <w:color w:val="000000"/>
          <w:sz w:val="21"/>
          <w:szCs w:val="21"/>
        </w:rPr>
        <w:t>1.</w:t>
      </w:r>
      <w:r>
        <w:rPr>
          <w:rFonts w:hint="eastAsia" w:ascii="Tahoma" w:hAnsi="Tahoma" w:cs="Tahoma"/>
          <w:color w:val="000000"/>
          <w:sz w:val="21"/>
          <w:szCs w:val="21"/>
          <w:lang w:val="en-US" w:eastAsia="zh-CN"/>
        </w:rPr>
        <w:t>5电源：12V；6A。</w:t>
      </w:r>
    </w:p>
    <w:p>
      <w:pPr>
        <w:pStyle w:val="22"/>
        <w:tabs>
          <w:tab w:val="left" w:pos="550"/>
        </w:tabs>
        <w:adjustRightInd w:val="0"/>
        <w:snapToGrid w:val="0"/>
        <w:spacing w:line="360" w:lineRule="auto"/>
        <w:ind w:left="546" w:leftChars="200" w:hanging="126" w:hangingChars="60"/>
        <w:rPr>
          <w:rFonts w:hint="eastAsia" w:ascii="Tahoma" w:hAnsi="Tahoma" w:cs="Tahoma"/>
          <w:color w:val="000000"/>
          <w:sz w:val="21"/>
          <w:szCs w:val="21"/>
          <w:lang w:val="en-US" w:eastAsia="zh-CN"/>
        </w:rPr>
      </w:pPr>
      <w:r>
        <w:rPr>
          <w:rFonts w:hint="eastAsia" w:ascii="Tahoma" w:hAnsi="Tahoma" w:cs="Tahoma"/>
          <w:color w:val="000000"/>
          <w:sz w:val="21"/>
          <w:szCs w:val="21"/>
          <w:lang w:val="en-US" w:eastAsia="zh-CN"/>
        </w:rPr>
        <w:t>△</w:t>
      </w:r>
      <w:r>
        <w:rPr>
          <w:rFonts w:hint="eastAsia" w:ascii="Tahoma" w:hAnsi="Tahoma" w:cs="Tahoma"/>
          <w:color w:val="000000"/>
          <w:sz w:val="21"/>
          <w:szCs w:val="21"/>
        </w:rPr>
        <w:t>1.</w:t>
      </w:r>
      <w:r>
        <w:rPr>
          <w:rFonts w:hint="eastAsia" w:ascii="Tahoma" w:hAnsi="Tahoma" w:cs="Tahoma"/>
          <w:color w:val="000000"/>
          <w:sz w:val="21"/>
          <w:szCs w:val="21"/>
          <w:lang w:val="en-US" w:eastAsia="zh-CN"/>
        </w:rPr>
        <w:t>6翼闸机使用寿命：不小于300万次。</w:t>
      </w:r>
    </w:p>
    <w:p>
      <w:pPr>
        <w:pStyle w:val="22"/>
        <w:tabs>
          <w:tab w:val="left" w:pos="550"/>
        </w:tabs>
        <w:adjustRightInd w:val="0"/>
        <w:snapToGrid w:val="0"/>
        <w:spacing w:line="360" w:lineRule="auto"/>
        <w:ind w:left="546" w:leftChars="200" w:hanging="126" w:hangingChars="60"/>
        <w:rPr>
          <w:rFonts w:hint="eastAsia" w:ascii="Tahoma" w:hAnsi="Tahoma" w:cs="Tahoma"/>
          <w:color w:val="000000"/>
          <w:sz w:val="21"/>
          <w:szCs w:val="21"/>
          <w:lang w:val="en-US" w:eastAsia="zh-CN"/>
        </w:rPr>
      </w:pPr>
      <w:r>
        <w:rPr>
          <w:rFonts w:hint="eastAsia" w:ascii="Tahoma" w:hAnsi="Tahoma" w:cs="Tahoma"/>
          <w:color w:val="000000"/>
          <w:sz w:val="21"/>
          <w:szCs w:val="21"/>
          <w:lang w:val="en-US" w:eastAsia="zh-CN"/>
        </w:rPr>
        <w:t>△</w:t>
      </w:r>
      <w:r>
        <w:rPr>
          <w:rFonts w:hint="eastAsia" w:ascii="Tahoma" w:hAnsi="Tahoma" w:cs="Tahoma"/>
          <w:color w:val="000000"/>
          <w:sz w:val="21"/>
          <w:szCs w:val="21"/>
        </w:rPr>
        <w:t>1.</w:t>
      </w:r>
      <w:r>
        <w:rPr>
          <w:rFonts w:hint="eastAsia" w:ascii="Tahoma" w:hAnsi="Tahoma" w:cs="Tahoma"/>
          <w:color w:val="000000"/>
          <w:sz w:val="21"/>
          <w:szCs w:val="21"/>
          <w:lang w:val="en-US" w:eastAsia="zh-CN"/>
        </w:rPr>
        <w:t>7通信接口：RS485标准。</w:t>
      </w:r>
    </w:p>
    <w:p>
      <w:pPr>
        <w:pStyle w:val="22"/>
        <w:tabs>
          <w:tab w:val="left" w:pos="550"/>
        </w:tabs>
        <w:adjustRightInd w:val="0"/>
        <w:snapToGrid w:val="0"/>
        <w:spacing w:line="360" w:lineRule="auto"/>
        <w:ind w:left="546" w:leftChars="200" w:hanging="126" w:hangingChars="60"/>
        <w:rPr>
          <w:rFonts w:ascii="Tahoma" w:hAnsi="Tahoma" w:cs="Tahoma"/>
          <w:color w:val="000000"/>
          <w:sz w:val="21"/>
          <w:szCs w:val="21"/>
        </w:rPr>
      </w:pPr>
      <w:r>
        <w:rPr>
          <w:rFonts w:hint="eastAsia" w:ascii="Tahoma" w:hAnsi="Tahoma" w:cs="Tahoma"/>
          <w:color w:val="000000"/>
          <w:sz w:val="21"/>
          <w:szCs w:val="21"/>
        </w:rPr>
        <w:t>2.技术要求</w:t>
      </w:r>
    </w:p>
    <w:p>
      <w:pPr>
        <w:pStyle w:val="22"/>
        <w:tabs>
          <w:tab w:val="left" w:pos="550"/>
        </w:tabs>
        <w:adjustRightInd w:val="0"/>
        <w:snapToGrid w:val="0"/>
        <w:spacing w:line="360" w:lineRule="auto"/>
        <w:ind w:left="546" w:leftChars="200" w:hanging="126" w:hangingChars="60"/>
        <w:rPr>
          <w:rFonts w:hint="eastAsia" w:ascii="Tahoma" w:hAnsi="Tahoma" w:cs="Tahoma"/>
          <w:color w:val="000000"/>
          <w:sz w:val="21"/>
          <w:szCs w:val="21"/>
          <w:lang w:val="en-US" w:eastAsia="zh-CN"/>
        </w:rPr>
      </w:pPr>
      <w:r>
        <w:rPr>
          <w:rFonts w:ascii="Tahoma" w:hAnsi="Tahoma" w:cs="Tahoma"/>
          <w:color w:val="000000"/>
          <w:sz w:val="21"/>
          <w:szCs w:val="21"/>
        </w:rPr>
        <w:t>*</w:t>
      </w:r>
      <w:r>
        <w:rPr>
          <w:rFonts w:hint="eastAsia" w:ascii="Tahoma" w:hAnsi="Tahoma" w:cs="Tahoma"/>
          <w:color w:val="000000"/>
          <w:sz w:val="21"/>
          <w:szCs w:val="21"/>
        </w:rPr>
        <w:t>2.1</w:t>
      </w:r>
      <w:r>
        <w:rPr>
          <w:rFonts w:hint="eastAsia" w:ascii="Tahoma" w:hAnsi="Tahoma" w:cs="Tahoma"/>
          <w:color w:val="000000"/>
          <w:sz w:val="21"/>
          <w:szCs w:val="21"/>
          <w:lang w:val="en-US" w:eastAsia="zh-CN"/>
        </w:rPr>
        <w:t>翼闸采用双向读卡窗，双向通道指示和方向指示，红外感应开或关，红外防夹功能，断电自动打开，上电自动复位，至少有3对红外感应，预留接口可加装。</w:t>
      </w:r>
    </w:p>
    <w:p>
      <w:pPr>
        <w:pStyle w:val="22"/>
        <w:tabs>
          <w:tab w:val="left" w:pos="550"/>
        </w:tabs>
        <w:adjustRightInd w:val="0"/>
        <w:snapToGrid w:val="0"/>
        <w:spacing w:line="360" w:lineRule="auto"/>
        <w:ind w:left="546" w:leftChars="200" w:hanging="126" w:hangingChars="60"/>
        <w:rPr>
          <w:rFonts w:ascii="Tahoma" w:hAnsi="Tahoma" w:cs="Tahoma"/>
          <w:color w:val="000000"/>
          <w:sz w:val="21"/>
          <w:szCs w:val="21"/>
        </w:rPr>
      </w:pPr>
      <w:r>
        <w:rPr>
          <w:rFonts w:hint="eastAsia" w:ascii="Tahoma" w:hAnsi="Tahoma" w:cs="Tahoma"/>
          <w:color w:val="000000"/>
          <w:sz w:val="21"/>
          <w:szCs w:val="21"/>
          <w:lang w:val="en-US" w:eastAsia="zh-CN"/>
        </w:rPr>
        <w:t>△</w:t>
      </w:r>
      <w:r>
        <w:rPr>
          <w:rFonts w:hint="eastAsia" w:ascii="Tahoma" w:hAnsi="Tahoma" w:cs="Tahoma"/>
          <w:color w:val="000000"/>
          <w:sz w:val="21"/>
          <w:szCs w:val="21"/>
        </w:rPr>
        <w:t>2.2</w:t>
      </w:r>
      <w:r>
        <w:rPr>
          <w:rFonts w:hint="eastAsia" w:ascii="Tahoma" w:hAnsi="Tahoma" w:cs="Tahoma"/>
          <w:color w:val="000000"/>
          <w:sz w:val="21"/>
          <w:szCs w:val="21"/>
          <w:lang w:val="en-US" w:eastAsia="zh-CN"/>
        </w:rPr>
        <w:t>翼闸组成部分模具成型，剩余机器人焊接，可加装LCD显示屏。</w:t>
      </w:r>
    </w:p>
    <w:p>
      <w:pPr>
        <w:pStyle w:val="22"/>
        <w:tabs>
          <w:tab w:val="left" w:pos="550"/>
        </w:tabs>
        <w:adjustRightInd w:val="0"/>
        <w:snapToGrid w:val="0"/>
        <w:spacing w:line="360" w:lineRule="auto"/>
        <w:ind w:left="546" w:leftChars="200" w:hanging="126" w:hangingChars="60"/>
        <w:rPr>
          <w:rFonts w:ascii="Tahoma" w:hAnsi="Tahoma" w:cs="Tahoma"/>
          <w:color w:val="000000"/>
          <w:sz w:val="21"/>
          <w:szCs w:val="21"/>
        </w:rPr>
      </w:pPr>
      <w:r>
        <w:rPr>
          <w:rFonts w:hint="eastAsia" w:ascii="Tahoma" w:hAnsi="Tahoma" w:cs="Tahoma"/>
          <w:color w:val="000000"/>
          <w:sz w:val="21"/>
          <w:szCs w:val="21"/>
          <w:lang w:val="en-US" w:eastAsia="zh-CN"/>
        </w:rPr>
        <w:t>△</w:t>
      </w:r>
      <w:r>
        <w:rPr>
          <w:rFonts w:hint="eastAsia" w:ascii="Tahoma" w:hAnsi="Tahoma" w:cs="Tahoma"/>
          <w:color w:val="000000"/>
          <w:sz w:val="21"/>
          <w:szCs w:val="21"/>
        </w:rPr>
        <w:t>2.3网络版闸机控制板</w:t>
      </w:r>
      <w:r>
        <w:rPr>
          <w:rFonts w:hint="eastAsia" w:ascii="Tahoma" w:hAnsi="Tahoma" w:cs="Tahoma"/>
          <w:color w:val="000000"/>
          <w:sz w:val="21"/>
          <w:szCs w:val="21"/>
          <w:lang w:eastAsia="zh-CN"/>
        </w:rPr>
        <w:t>：硬件自带Web服务器，可以不安装软件实现管理和实时临控</w:t>
      </w:r>
    </w:p>
    <w:p>
      <w:pPr>
        <w:pStyle w:val="22"/>
        <w:tabs>
          <w:tab w:val="left" w:pos="550"/>
        </w:tabs>
        <w:adjustRightInd w:val="0"/>
        <w:snapToGrid w:val="0"/>
        <w:spacing w:line="360" w:lineRule="auto"/>
        <w:ind w:left="546" w:leftChars="200" w:hanging="126" w:hangingChars="60"/>
        <w:rPr>
          <w:rFonts w:hint="eastAsia" w:ascii="Tahoma" w:hAnsi="Tahoma" w:cs="Tahoma"/>
          <w:color w:val="000000"/>
          <w:sz w:val="21"/>
          <w:szCs w:val="21"/>
          <w:lang w:val="en-US" w:eastAsia="zh-CN"/>
        </w:rPr>
      </w:pPr>
      <w:r>
        <w:rPr>
          <w:rFonts w:hint="eastAsia" w:ascii="Tahoma" w:hAnsi="Tahoma" w:cs="Tahoma"/>
          <w:color w:val="000000"/>
          <w:sz w:val="21"/>
          <w:szCs w:val="21"/>
          <w:lang w:val="en-US" w:eastAsia="zh-CN"/>
        </w:rPr>
        <w:t>△</w:t>
      </w:r>
      <w:r>
        <w:rPr>
          <w:rFonts w:hint="eastAsia" w:ascii="Tahoma" w:hAnsi="Tahoma" w:cs="Tahoma"/>
          <w:color w:val="000000"/>
          <w:sz w:val="21"/>
          <w:szCs w:val="21"/>
        </w:rPr>
        <w:t>2.4</w:t>
      </w:r>
      <w:r>
        <w:rPr>
          <w:rFonts w:hint="eastAsia" w:ascii="Tahoma" w:hAnsi="Tahoma" w:cs="Tahoma"/>
          <w:color w:val="000000"/>
          <w:sz w:val="21"/>
          <w:szCs w:val="21"/>
          <w:lang w:val="en-US" w:eastAsia="zh-CN"/>
        </w:rPr>
        <w:t>多模激光扫描仪：直接功能是扫描来客手机生成的二维码。具有二维影像技术、隐藏式LED照明设计，引进CodeGate技术，可以精确读取手机屏幕、电脑屏幕上的条码；扫描头旋转可调；操作简单、条码靠近自动扫描。</w:t>
      </w:r>
    </w:p>
    <w:p>
      <w:pPr>
        <w:autoSpaceDE w:val="0"/>
        <w:autoSpaceDN w:val="0"/>
        <w:adjustRightInd w:val="0"/>
        <w:spacing w:line="360" w:lineRule="auto"/>
        <w:ind w:left="840" w:leftChars="200" w:hanging="420" w:hangingChars="200"/>
        <w:jc w:val="left"/>
        <w:rPr>
          <w:rFonts w:hint="eastAsia" w:ascii="宋体" w:hAnsi="Wingdings-Regular" w:cs="宋体"/>
          <w:kern w:val="0"/>
          <w:szCs w:val="21"/>
          <w:lang w:eastAsia="zh-CN"/>
        </w:rPr>
      </w:pPr>
      <w:r>
        <w:rPr>
          <w:rFonts w:hint="eastAsia" w:ascii="Tahoma" w:hAnsi="Tahoma" w:cs="Tahoma"/>
          <w:color w:val="000000"/>
          <w:sz w:val="21"/>
          <w:szCs w:val="21"/>
          <w:lang w:val="en-US" w:eastAsia="zh-CN"/>
        </w:rPr>
        <w:t>△</w:t>
      </w:r>
      <w:r>
        <w:rPr>
          <w:rFonts w:hint="eastAsia" w:ascii="Tahoma" w:hAnsi="Tahoma" w:cs="Tahoma"/>
          <w:color w:val="000000"/>
          <w:sz w:val="21"/>
          <w:szCs w:val="21"/>
        </w:rPr>
        <w:t>2.</w:t>
      </w:r>
      <w:r>
        <w:rPr>
          <w:rFonts w:hint="eastAsia" w:ascii="Tahoma" w:hAnsi="Tahoma" w:cs="Tahoma"/>
          <w:color w:val="000000"/>
          <w:sz w:val="21"/>
          <w:szCs w:val="21"/>
          <w:lang w:val="en-US" w:eastAsia="zh-CN"/>
        </w:rPr>
        <w:t xml:space="preserve">5 </w:t>
      </w:r>
      <w:r>
        <w:rPr>
          <w:rFonts w:hint="eastAsia" w:ascii="宋体" w:hAnsi="宋体"/>
          <w:szCs w:val="21"/>
        </w:rPr>
        <w:t>人脸识别+指纹 门禁</w:t>
      </w:r>
      <w:r>
        <w:rPr>
          <w:rFonts w:hint="eastAsia" w:ascii="宋体" w:hAnsi="宋体"/>
          <w:szCs w:val="21"/>
          <w:lang w:eastAsia="zh-CN"/>
        </w:rPr>
        <w:t>：</w:t>
      </w:r>
      <w:r>
        <w:rPr>
          <w:rFonts w:hint="eastAsia" w:ascii="宋体" w:hAnsi="宋体"/>
          <w:szCs w:val="21"/>
          <w:lang w:val="en-US" w:eastAsia="zh-CN"/>
        </w:rPr>
        <w:t>计划代替现有的考勤系统。</w:t>
      </w:r>
      <w:r>
        <w:rPr>
          <w:rFonts w:hint="eastAsia" w:ascii="宋体" w:hAnsi="Wingdings-Regular" w:cs="宋体"/>
          <w:kern w:val="0"/>
          <w:szCs w:val="21"/>
        </w:rPr>
        <w:t>可以自由定义多个作息时间；支持3级部门管理；可以对公司、部门、人员分别设置不同的作息制度和考核措施；支持跨天打卡，支持自由打卡；支持天、小时、半小时、分钟等单位计算考勤结果；支持早上班晚下班做为加班，也支持固定加班；支持上下午中间不打卡的工作方式，支持定义夜班；支持对考勤结果进行编辑修改；支持对考勤结果进行特别排班调整；支持请假和出差管理；支持颜色标示，不同记录以不同颜色表示，同时可以自定义颜色组合；同时支持2种数据库，Access 和SQL Server任意选择，默认为Access；系统提供日志记录，可以查看操作及管理历史记录，方便管理跟踪和系统维护；数据提供导入导出功能；方便进行处理工作</w:t>
      </w:r>
      <w:r>
        <w:rPr>
          <w:rFonts w:hint="eastAsia" w:ascii="宋体" w:hAnsi="Wingdings-Regular" w:cs="宋体"/>
          <w:kern w:val="0"/>
          <w:szCs w:val="21"/>
          <w:lang w:eastAsia="zh-CN"/>
        </w:rPr>
        <w:t>。</w:t>
      </w:r>
    </w:p>
    <w:p>
      <w:pPr>
        <w:autoSpaceDE w:val="0"/>
        <w:autoSpaceDN w:val="0"/>
        <w:adjustRightInd w:val="0"/>
        <w:spacing w:line="360" w:lineRule="auto"/>
        <w:ind w:left="840" w:leftChars="200" w:hanging="420" w:hangingChars="200"/>
        <w:jc w:val="left"/>
        <w:rPr>
          <w:rFonts w:hint="eastAsia" w:ascii="宋体" w:hAnsi="Wingdings-Regular" w:cs="宋体"/>
          <w:kern w:val="0"/>
          <w:szCs w:val="21"/>
          <w:lang w:eastAsia="zh-CN"/>
        </w:rPr>
      </w:pPr>
    </w:p>
    <w:p>
      <w:pPr>
        <w:autoSpaceDE w:val="0"/>
        <w:autoSpaceDN w:val="0"/>
        <w:adjustRightInd w:val="0"/>
        <w:spacing w:line="360" w:lineRule="auto"/>
        <w:ind w:left="840" w:leftChars="200" w:hanging="420" w:hangingChars="200"/>
        <w:jc w:val="left"/>
        <w:rPr>
          <w:rFonts w:hint="eastAsia" w:ascii="宋体" w:hAnsi="Wingdings-Regular" w:cs="宋体"/>
          <w:kern w:val="0"/>
          <w:szCs w:val="21"/>
          <w:lang w:val="en-US" w:eastAsia="zh-CN"/>
        </w:rPr>
      </w:pPr>
      <w:r>
        <w:rPr>
          <w:rFonts w:hint="eastAsia" w:ascii="Tahoma" w:hAnsi="Tahoma" w:cs="Tahoma"/>
          <w:color w:val="000000"/>
          <w:sz w:val="21"/>
          <w:szCs w:val="21"/>
          <w:lang w:val="en-US" w:eastAsia="zh-CN"/>
        </w:rPr>
        <w:t>△</w:t>
      </w:r>
      <w:r>
        <w:rPr>
          <w:rFonts w:hint="eastAsia" w:ascii="Tahoma" w:hAnsi="Tahoma" w:cs="Tahoma"/>
          <w:color w:val="000000"/>
          <w:sz w:val="21"/>
          <w:szCs w:val="21"/>
        </w:rPr>
        <w:t>2.</w:t>
      </w:r>
      <w:r>
        <w:rPr>
          <w:rFonts w:hint="eastAsia" w:ascii="Tahoma" w:hAnsi="Tahoma" w:cs="Tahoma"/>
          <w:color w:val="000000"/>
          <w:sz w:val="21"/>
          <w:szCs w:val="21"/>
          <w:lang w:val="en-US" w:eastAsia="zh-CN"/>
        </w:rPr>
        <w:t>6 厂家负责提供软件接口，配合完成来客管理系统与翼闸机的调试。</w:t>
      </w:r>
    </w:p>
    <w:p>
      <w:pPr>
        <w:adjustRightInd w:val="0"/>
        <w:snapToGrid w:val="0"/>
        <w:spacing w:line="360" w:lineRule="auto"/>
        <w:ind w:firstLine="400" w:firstLineChars="200"/>
        <w:rPr>
          <w:rFonts w:ascii="宋体"/>
          <w:b w:val="0"/>
          <w:bCs w:val="0"/>
          <w:spacing w:val="-5"/>
          <w:kern w:val="0"/>
          <w:szCs w:val="21"/>
        </w:rPr>
      </w:pPr>
      <w:r>
        <w:rPr>
          <w:rFonts w:hint="eastAsia" w:ascii="宋体"/>
          <w:b w:val="0"/>
          <w:bCs w:val="0"/>
          <w:spacing w:val="-5"/>
          <w:kern w:val="0"/>
          <w:szCs w:val="21"/>
        </w:rPr>
        <w:t>3、安全技术要求</w:t>
      </w:r>
    </w:p>
    <w:p>
      <w:pPr>
        <w:pStyle w:val="22"/>
        <w:tabs>
          <w:tab w:val="left" w:pos="550"/>
        </w:tabs>
        <w:adjustRightInd w:val="0"/>
        <w:snapToGrid w:val="0"/>
        <w:spacing w:line="360" w:lineRule="auto"/>
        <w:ind w:left="546" w:leftChars="200" w:hanging="126" w:hangingChars="60"/>
        <w:rPr>
          <w:rFonts w:ascii="Tahoma" w:hAnsi="Tahoma" w:cs="Tahoma"/>
          <w:color w:val="000000"/>
          <w:sz w:val="21"/>
          <w:szCs w:val="21"/>
        </w:rPr>
      </w:pPr>
      <w:r>
        <w:rPr>
          <w:rFonts w:ascii="Tahoma" w:hAnsi="Tahoma" w:cs="Tahoma"/>
          <w:color w:val="000000"/>
          <w:sz w:val="21"/>
          <w:szCs w:val="21"/>
        </w:rPr>
        <w:t>*</w:t>
      </w:r>
      <w:r>
        <w:rPr>
          <w:rFonts w:hint="eastAsia" w:ascii="Tahoma" w:hAnsi="Tahoma" w:cs="Tahoma"/>
          <w:color w:val="000000"/>
          <w:sz w:val="21"/>
          <w:szCs w:val="21"/>
        </w:rPr>
        <w:t>3.1控制电压为本安电压。</w:t>
      </w:r>
    </w:p>
    <w:p>
      <w:pPr>
        <w:spacing w:line="360" w:lineRule="auto"/>
        <w:ind w:firstLine="420" w:firstLineChars="200"/>
        <w:rPr>
          <w:rFonts w:ascii="宋体" w:hAnsi="宋体"/>
          <w:szCs w:val="21"/>
        </w:rPr>
      </w:pPr>
      <w:r>
        <w:rPr>
          <w:rFonts w:hint="eastAsia" w:ascii="宋体" w:hAnsi="宋体"/>
          <w:szCs w:val="21"/>
        </w:rPr>
        <w:t>4.招标人提出的其它技术要求</w:t>
      </w:r>
    </w:p>
    <w:p>
      <w:pPr>
        <w:spacing w:line="360" w:lineRule="auto"/>
        <w:ind w:firstLine="424" w:firstLineChars="202"/>
        <w:rPr>
          <w:szCs w:val="21"/>
        </w:rPr>
      </w:pPr>
      <w:r>
        <w:rPr>
          <w:rFonts w:hint="eastAsia"/>
          <w:szCs w:val="21"/>
        </w:rPr>
        <w:t>4.1投标厂家必须对招标文件中的技术条款逐条解释并满足工作环境。</w:t>
      </w:r>
    </w:p>
    <w:p>
      <w:pPr>
        <w:spacing w:line="360" w:lineRule="auto"/>
        <w:ind w:firstLine="424" w:firstLineChars="202"/>
        <w:rPr>
          <w:szCs w:val="21"/>
        </w:rPr>
      </w:pPr>
      <w:r>
        <w:rPr>
          <w:rFonts w:hint="eastAsia"/>
          <w:szCs w:val="21"/>
        </w:rPr>
        <w:t>4.2投标产品必须满足相关的最新国家和行业标准要求，招标技术要求中相关条款指标高于国家行业要求的，按照招标文件要求条款执行。</w:t>
      </w:r>
    </w:p>
    <w:p>
      <w:pPr>
        <w:spacing w:line="360" w:lineRule="auto"/>
        <w:ind w:firstLine="424" w:firstLineChars="202"/>
        <w:rPr>
          <w:szCs w:val="21"/>
        </w:rPr>
      </w:pPr>
      <w:r>
        <w:rPr>
          <w:rFonts w:hint="eastAsia"/>
          <w:szCs w:val="21"/>
        </w:rPr>
        <w:t>4.3表分项报价合计价格与投标报价设备总价格必须一致。</w:t>
      </w:r>
    </w:p>
    <w:p>
      <w:pPr>
        <w:spacing w:line="360" w:lineRule="auto"/>
        <w:ind w:firstLine="315" w:firstLineChars="150"/>
        <w:rPr>
          <w:rFonts w:ascii="宋体" w:hAnsi="宋体"/>
          <w:szCs w:val="21"/>
        </w:rPr>
      </w:pPr>
      <w:r>
        <w:rPr>
          <w:rFonts w:hint="eastAsia" w:ascii="宋体" w:hAnsi="宋体"/>
          <w:szCs w:val="21"/>
        </w:rPr>
        <w:t>5.标准</w:t>
      </w:r>
    </w:p>
    <w:p>
      <w:pPr>
        <w:spacing w:line="360" w:lineRule="auto"/>
        <w:ind w:left="426"/>
        <w:rPr>
          <w:szCs w:val="21"/>
        </w:rPr>
      </w:pPr>
      <w:r>
        <w:rPr>
          <w:rFonts w:hint="eastAsia"/>
          <w:szCs w:val="21"/>
        </w:rPr>
        <w:t>5.1</w:t>
      </w:r>
      <w:r>
        <w:rPr>
          <w:szCs w:val="21"/>
        </w:rPr>
        <w:t>所供应的货物将按下列标准（推荐）进行设计和制造</w:t>
      </w:r>
      <w:r>
        <w:rPr>
          <w:rFonts w:hint="eastAsia"/>
          <w:szCs w:val="21"/>
        </w:rPr>
        <w:t>：</w:t>
      </w:r>
    </w:p>
    <w:p>
      <w:pPr>
        <w:pStyle w:val="22"/>
        <w:adjustRightInd w:val="0"/>
        <w:snapToGrid w:val="0"/>
        <w:spacing w:before="0" w:after="0" w:line="360" w:lineRule="auto"/>
        <w:ind w:left="850"/>
        <w:rPr>
          <w:sz w:val="21"/>
          <w:szCs w:val="21"/>
        </w:rPr>
      </w:pPr>
      <w:r>
        <w:rPr>
          <w:sz w:val="21"/>
          <w:szCs w:val="21"/>
        </w:rPr>
        <w:t>电器: IEC标准/EN标准</w:t>
      </w:r>
    </w:p>
    <w:p>
      <w:pPr>
        <w:pStyle w:val="22"/>
        <w:adjustRightInd w:val="0"/>
        <w:snapToGrid w:val="0"/>
        <w:spacing w:before="0" w:after="0" w:line="360" w:lineRule="auto"/>
        <w:ind w:left="850"/>
        <w:rPr>
          <w:sz w:val="21"/>
          <w:szCs w:val="21"/>
        </w:rPr>
      </w:pPr>
      <w:r>
        <w:rPr>
          <w:sz w:val="21"/>
          <w:szCs w:val="21"/>
        </w:rPr>
        <w:t>机械: ISO标准</w:t>
      </w:r>
    </w:p>
    <w:p>
      <w:pPr>
        <w:adjustRightInd w:val="0"/>
        <w:snapToGrid w:val="0"/>
        <w:spacing w:before="312" w:beforeLines="100" w:after="312" w:afterLines="100" w:line="360" w:lineRule="auto"/>
        <w:rPr>
          <w:b/>
        </w:rPr>
      </w:pPr>
      <w:r>
        <w:rPr>
          <w:rFonts w:hint="eastAsia"/>
          <w:b/>
        </w:rPr>
        <w:t>四. 需投标人提供的技术参数</w:t>
      </w:r>
    </w:p>
    <w:p>
      <w:pPr>
        <w:pStyle w:val="22"/>
        <w:tabs>
          <w:tab w:val="left" w:pos="550"/>
        </w:tabs>
        <w:adjustRightInd w:val="0"/>
        <w:snapToGrid w:val="0"/>
        <w:spacing w:line="360" w:lineRule="auto"/>
        <w:ind w:left="546" w:leftChars="200" w:hanging="126" w:hangingChars="60"/>
        <w:rPr>
          <w:rFonts w:ascii="Tahoma" w:hAnsi="Tahoma" w:cs="Tahoma"/>
          <w:color w:val="000000"/>
          <w:sz w:val="21"/>
          <w:szCs w:val="21"/>
        </w:rPr>
      </w:pPr>
      <w:r>
        <w:rPr>
          <w:rFonts w:ascii="Tahoma" w:hAnsi="Tahoma" w:cs="Tahoma"/>
          <w:color w:val="000000"/>
          <w:sz w:val="21"/>
          <w:szCs w:val="21"/>
        </w:rPr>
        <w:t>1.</w:t>
      </w:r>
      <w:r>
        <w:rPr>
          <w:rFonts w:hint="eastAsia" w:ascii="Tahoma" w:hAnsi="Tahoma" w:cs="Tahoma"/>
          <w:color w:val="000000"/>
          <w:sz w:val="21"/>
          <w:szCs w:val="21"/>
        </w:rPr>
        <w:t>1</w:t>
      </w:r>
      <w:r>
        <w:rPr>
          <w:rFonts w:hint="eastAsia" w:ascii="Tahoma" w:hAnsi="Tahoma" w:cs="Tahoma"/>
          <w:color w:val="000000"/>
          <w:sz w:val="21"/>
          <w:szCs w:val="21"/>
          <w:lang w:val="en-US" w:eastAsia="zh-CN"/>
        </w:rPr>
        <w:t>翼闸长度</w:t>
      </w:r>
      <w:r>
        <w:rPr>
          <w:rFonts w:hint="eastAsia" w:ascii="Tahoma" w:hAnsi="Tahoma" w:cs="Tahoma"/>
          <w:color w:val="000000"/>
          <w:sz w:val="21"/>
          <w:szCs w:val="21"/>
        </w:rPr>
        <w:t>：</w:t>
      </w:r>
      <w:r>
        <w:rPr>
          <w:rFonts w:hint="eastAsia" w:ascii="Tahoma" w:hAnsi="Tahoma" w:cs="Tahoma"/>
          <w:color w:val="000000"/>
          <w:sz w:val="21"/>
          <w:szCs w:val="21"/>
          <w:u w:val="single"/>
        </w:rPr>
        <w:t xml:space="preserve">                  </w:t>
      </w:r>
    </w:p>
    <w:p>
      <w:pPr>
        <w:pStyle w:val="22"/>
        <w:tabs>
          <w:tab w:val="left" w:pos="550"/>
        </w:tabs>
        <w:adjustRightInd w:val="0"/>
        <w:snapToGrid w:val="0"/>
        <w:spacing w:line="360" w:lineRule="auto"/>
        <w:ind w:left="546" w:leftChars="200" w:hanging="126" w:hangingChars="60"/>
        <w:rPr>
          <w:rFonts w:ascii="Tahoma" w:hAnsi="Tahoma" w:cs="Tahoma"/>
          <w:color w:val="000000"/>
          <w:sz w:val="21"/>
          <w:szCs w:val="21"/>
        </w:rPr>
      </w:pPr>
      <w:r>
        <w:rPr>
          <w:rFonts w:ascii="Tahoma" w:hAnsi="Tahoma" w:cs="Tahoma"/>
          <w:color w:val="000000"/>
          <w:sz w:val="21"/>
          <w:szCs w:val="21"/>
        </w:rPr>
        <w:t>1.</w:t>
      </w:r>
      <w:r>
        <w:rPr>
          <w:rFonts w:hint="eastAsia" w:ascii="Tahoma" w:hAnsi="Tahoma" w:cs="Tahoma"/>
          <w:color w:val="000000"/>
          <w:sz w:val="21"/>
          <w:szCs w:val="21"/>
        </w:rPr>
        <w:t>2</w:t>
      </w:r>
      <w:r>
        <w:rPr>
          <w:rFonts w:hint="eastAsia" w:ascii="Tahoma" w:hAnsi="Tahoma" w:cs="Tahoma"/>
          <w:color w:val="000000"/>
          <w:sz w:val="21"/>
          <w:szCs w:val="21"/>
          <w:lang w:val="en-US" w:eastAsia="zh-CN"/>
        </w:rPr>
        <w:t>翼闸</w:t>
      </w:r>
      <w:r>
        <w:rPr>
          <w:rFonts w:hint="eastAsia" w:ascii="Tahoma" w:hAnsi="Tahoma" w:cs="Tahoma"/>
          <w:color w:val="000000"/>
          <w:sz w:val="21"/>
          <w:szCs w:val="21"/>
        </w:rPr>
        <w:t>箱体尺寸：</w:t>
      </w:r>
      <w:r>
        <w:rPr>
          <w:rFonts w:hint="eastAsia" w:ascii="Tahoma" w:hAnsi="Tahoma" w:cs="Tahoma"/>
          <w:color w:val="000000"/>
          <w:sz w:val="21"/>
          <w:szCs w:val="21"/>
          <w:u w:val="single"/>
        </w:rPr>
        <w:t xml:space="preserve">                      </w:t>
      </w:r>
      <w:r>
        <w:rPr>
          <w:rFonts w:ascii="Tahoma" w:hAnsi="Tahoma" w:cs="Tahoma"/>
          <w:color w:val="000000"/>
          <w:sz w:val="21"/>
          <w:szCs w:val="21"/>
        </w:rPr>
        <w:t> </w:t>
      </w:r>
    </w:p>
    <w:p>
      <w:pPr>
        <w:pStyle w:val="22"/>
        <w:tabs>
          <w:tab w:val="left" w:pos="550"/>
        </w:tabs>
        <w:adjustRightInd w:val="0"/>
        <w:snapToGrid w:val="0"/>
        <w:spacing w:line="360" w:lineRule="auto"/>
        <w:ind w:left="546" w:leftChars="200" w:hanging="126" w:hangingChars="60"/>
        <w:rPr>
          <w:rFonts w:ascii="Tahoma" w:hAnsi="Tahoma" w:cs="Tahoma"/>
          <w:color w:val="000000"/>
          <w:sz w:val="21"/>
          <w:szCs w:val="21"/>
        </w:rPr>
      </w:pPr>
      <w:r>
        <w:rPr>
          <w:rFonts w:ascii="Tahoma" w:hAnsi="Tahoma" w:cs="Tahoma"/>
          <w:color w:val="000000"/>
          <w:sz w:val="21"/>
          <w:szCs w:val="21"/>
        </w:rPr>
        <w:t>1.</w:t>
      </w:r>
      <w:r>
        <w:rPr>
          <w:rFonts w:hint="eastAsia" w:ascii="Tahoma" w:hAnsi="Tahoma" w:cs="Tahoma"/>
          <w:color w:val="000000"/>
          <w:sz w:val="21"/>
          <w:szCs w:val="21"/>
        </w:rPr>
        <w:t xml:space="preserve">3 </w:t>
      </w:r>
      <w:r>
        <w:rPr>
          <w:rFonts w:hint="eastAsia" w:ascii="Tahoma" w:hAnsi="Tahoma" w:cs="Tahoma"/>
          <w:color w:val="000000"/>
          <w:sz w:val="21"/>
          <w:szCs w:val="21"/>
          <w:lang w:val="en-US" w:eastAsia="zh-CN"/>
        </w:rPr>
        <w:t>翼闸材质</w:t>
      </w:r>
      <w:r>
        <w:rPr>
          <w:rFonts w:hint="eastAsia" w:ascii="Tahoma" w:hAnsi="Tahoma" w:cs="Tahoma"/>
          <w:color w:val="000000"/>
          <w:sz w:val="21"/>
          <w:szCs w:val="21"/>
        </w:rPr>
        <w:t>：</w:t>
      </w:r>
      <w:r>
        <w:rPr>
          <w:rFonts w:hint="eastAsia" w:ascii="Tahoma" w:hAnsi="Tahoma" w:cs="Tahoma"/>
          <w:color w:val="000000"/>
          <w:sz w:val="21"/>
          <w:szCs w:val="21"/>
          <w:u w:val="single"/>
        </w:rPr>
        <w:t xml:space="preserve">                   </w:t>
      </w:r>
    </w:p>
    <w:p>
      <w:pPr>
        <w:pStyle w:val="22"/>
        <w:tabs>
          <w:tab w:val="left" w:pos="550"/>
        </w:tabs>
        <w:adjustRightInd w:val="0"/>
        <w:snapToGrid w:val="0"/>
        <w:spacing w:line="360" w:lineRule="auto"/>
        <w:ind w:left="546" w:leftChars="200" w:hanging="126" w:hangingChars="60"/>
        <w:rPr>
          <w:rFonts w:ascii="Tahoma" w:hAnsi="Tahoma" w:cs="Tahoma"/>
          <w:color w:val="000000"/>
          <w:sz w:val="21"/>
          <w:szCs w:val="21"/>
        </w:rPr>
      </w:pPr>
      <w:r>
        <w:rPr>
          <w:rFonts w:ascii="Tahoma" w:hAnsi="Tahoma" w:cs="Tahoma"/>
          <w:color w:val="000000"/>
          <w:sz w:val="21"/>
          <w:szCs w:val="21"/>
        </w:rPr>
        <w:t>1.</w:t>
      </w:r>
      <w:r>
        <w:rPr>
          <w:rFonts w:hint="eastAsia" w:ascii="Tahoma" w:hAnsi="Tahoma" w:cs="Tahoma"/>
          <w:color w:val="000000"/>
          <w:sz w:val="21"/>
          <w:szCs w:val="21"/>
        </w:rPr>
        <w:t>4电源电压：</w:t>
      </w:r>
      <w:r>
        <w:rPr>
          <w:rFonts w:hint="eastAsia" w:ascii="Tahoma" w:hAnsi="Tahoma" w:cs="Tahoma"/>
          <w:color w:val="000000"/>
          <w:sz w:val="21"/>
          <w:szCs w:val="21"/>
          <w:u w:val="single"/>
        </w:rPr>
        <w:t xml:space="preserve">                      </w:t>
      </w:r>
    </w:p>
    <w:p>
      <w:pPr>
        <w:pStyle w:val="22"/>
        <w:tabs>
          <w:tab w:val="left" w:pos="550"/>
        </w:tabs>
        <w:adjustRightInd w:val="0"/>
        <w:snapToGrid w:val="0"/>
        <w:spacing w:line="360" w:lineRule="auto"/>
        <w:ind w:left="546" w:leftChars="200" w:hanging="126" w:hangingChars="60"/>
        <w:rPr>
          <w:rFonts w:ascii="Tahoma" w:hAnsi="Tahoma" w:cs="Tahoma"/>
          <w:color w:val="000000"/>
          <w:sz w:val="21"/>
          <w:szCs w:val="21"/>
        </w:rPr>
      </w:pPr>
      <w:r>
        <w:rPr>
          <w:rFonts w:hint="eastAsia" w:ascii="Tahoma" w:hAnsi="Tahoma" w:cs="Tahoma"/>
          <w:color w:val="000000"/>
          <w:sz w:val="21"/>
          <w:szCs w:val="21"/>
        </w:rPr>
        <w:t>1.5</w:t>
      </w:r>
      <w:r>
        <w:rPr>
          <w:rFonts w:hint="eastAsia" w:ascii="Tahoma" w:hAnsi="Tahoma" w:cs="Tahoma"/>
          <w:color w:val="000000"/>
          <w:sz w:val="21"/>
          <w:szCs w:val="21"/>
          <w:lang w:val="en-US" w:eastAsia="zh-CN"/>
        </w:rPr>
        <w:t>支持用户数量</w:t>
      </w:r>
      <w:r>
        <w:rPr>
          <w:rFonts w:hint="eastAsia" w:ascii="Tahoma" w:hAnsi="Tahoma" w:cs="Tahoma"/>
          <w:color w:val="000000"/>
          <w:sz w:val="21"/>
          <w:szCs w:val="21"/>
        </w:rPr>
        <w:t>：</w:t>
      </w:r>
      <w:r>
        <w:rPr>
          <w:rFonts w:hint="eastAsia" w:ascii="Tahoma" w:hAnsi="Tahoma" w:cs="Tahoma"/>
          <w:color w:val="000000"/>
          <w:sz w:val="21"/>
          <w:szCs w:val="21"/>
          <w:u w:val="single"/>
        </w:rPr>
        <w:t xml:space="preserve">                    </w:t>
      </w:r>
    </w:p>
    <w:p>
      <w:pPr>
        <w:pStyle w:val="22"/>
        <w:tabs>
          <w:tab w:val="left" w:pos="550"/>
        </w:tabs>
        <w:adjustRightInd w:val="0"/>
        <w:snapToGrid w:val="0"/>
        <w:spacing w:line="360" w:lineRule="auto"/>
        <w:ind w:left="546" w:leftChars="200" w:hanging="126" w:hangingChars="60"/>
        <w:rPr>
          <w:rFonts w:ascii="Tahoma" w:hAnsi="Tahoma" w:cs="Tahoma"/>
          <w:color w:val="000000"/>
          <w:sz w:val="21"/>
          <w:szCs w:val="21"/>
        </w:rPr>
      </w:pPr>
      <w:r>
        <w:rPr>
          <w:rFonts w:hint="eastAsia" w:ascii="Tahoma" w:hAnsi="Tahoma" w:cs="Tahoma"/>
          <w:color w:val="000000"/>
          <w:sz w:val="21"/>
          <w:szCs w:val="21"/>
        </w:rPr>
        <w:t>1.6</w:t>
      </w:r>
      <w:r>
        <w:rPr>
          <w:rFonts w:hint="eastAsia" w:ascii="Tahoma" w:hAnsi="Tahoma" w:cs="Tahoma"/>
          <w:color w:val="000000"/>
          <w:sz w:val="21"/>
          <w:szCs w:val="21"/>
          <w:lang w:val="en-US" w:eastAsia="zh-CN"/>
        </w:rPr>
        <w:t>最大记录条数</w:t>
      </w:r>
      <w:r>
        <w:rPr>
          <w:rFonts w:hint="eastAsia" w:ascii="Tahoma" w:hAnsi="Tahoma" w:cs="Tahoma"/>
          <w:color w:val="000000"/>
          <w:sz w:val="21"/>
          <w:szCs w:val="21"/>
        </w:rPr>
        <w:t>：</w:t>
      </w:r>
      <w:r>
        <w:rPr>
          <w:rFonts w:hint="eastAsia" w:ascii="Tahoma" w:hAnsi="Tahoma" w:cs="Tahoma"/>
          <w:color w:val="000000"/>
          <w:sz w:val="21"/>
          <w:szCs w:val="21"/>
          <w:u w:val="single"/>
        </w:rPr>
        <w:t xml:space="preserve">                    </w:t>
      </w:r>
    </w:p>
    <w:p>
      <w:pPr>
        <w:pStyle w:val="22"/>
        <w:tabs>
          <w:tab w:val="left" w:pos="550"/>
        </w:tabs>
        <w:adjustRightInd w:val="0"/>
        <w:snapToGrid w:val="0"/>
        <w:spacing w:line="360" w:lineRule="auto"/>
        <w:ind w:left="546" w:leftChars="200" w:hanging="126" w:hangingChars="60"/>
        <w:rPr>
          <w:rFonts w:hint="eastAsia" w:ascii="Tahoma" w:hAnsi="Tahoma" w:cs="Tahoma"/>
          <w:color w:val="000000"/>
          <w:sz w:val="21"/>
          <w:szCs w:val="21"/>
          <w:u w:val="single"/>
        </w:rPr>
      </w:pPr>
      <w:r>
        <w:rPr>
          <w:rFonts w:hint="eastAsia" w:ascii="Tahoma" w:hAnsi="Tahoma" w:cs="Tahoma"/>
          <w:color w:val="000000"/>
          <w:sz w:val="21"/>
          <w:szCs w:val="21"/>
        </w:rPr>
        <w:t>1.7使用寿命：</w:t>
      </w:r>
      <w:r>
        <w:rPr>
          <w:rFonts w:hint="eastAsia" w:ascii="Tahoma" w:hAnsi="Tahoma" w:cs="Tahoma"/>
          <w:color w:val="000000"/>
          <w:sz w:val="21"/>
          <w:szCs w:val="21"/>
          <w:u w:val="single"/>
        </w:rPr>
        <w:t xml:space="preserve">                </w:t>
      </w:r>
    </w:p>
    <w:p>
      <w:pPr>
        <w:pStyle w:val="22"/>
        <w:tabs>
          <w:tab w:val="left" w:pos="550"/>
        </w:tabs>
        <w:adjustRightInd w:val="0"/>
        <w:snapToGrid w:val="0"/>
        <w:spacing w:line="360" w:lineRule="auto"/>
        <w:ind w:left="546" w:leftChars="200" w:hanging="126" w:hangingChars="60"/>
        <w:rPr>
          <w:rFonts w:hint="eastAsia" w:ascii="Tahoma" w:hAnsi="Tahoma" w:eastAsia="宋体" w:cs="Tahoma"/>
          <w:color w:val="000000"/>
          <w:sz w:val="21"/>
          <w:szCs w:val="21"/>
          <w:lang w:val="en-US" w:eastAsia="zh-CN"/>
        </w:rPr>
      </w:pPr>
      <w:r>
        <w:rPr>
          <w:rFonts w:hint="eastAsia" w:ascii="Tahoma" w:hAnsi="Tahoma" w:cs="Tahoma"/>
          <w:color w:val="000000"/>
          <w:sz w:val="21"/>
          <w:szCs w:val="21"/>
          <w:lang w:val="en-US" w:eastAsia="zh-CN"/>
        </w:rPr>
        <w:t>1.8 多模激光扫描仪扫描条数：</w:t>
      </w:r>
      <w:r>
        <w:rPr>
          <w:rFonts w:hint="eastAsia" w:ascii="Tahoma" w:hAnsi="Tahoma" w:cs="Tahoma"/>
          <w:color w:val="000000"/>
          <w:sz w:val="21"/>
          <w:szCs w:val="21"/>
          <w:u w:val="single"/>
        </w:rPr>
        <w:t xml:space="preserve">                </w:t>
      </w:r>
    </w:p>
    <w:p>
      <w:pPr>
        <w:adjustRightInd w:val="0"/>
        <w:snapToGrid w:val="0"/>
        <w:spacing w:line="360" w:lineRule="auto"/>
        <w:rPr>
          <w:rFonts w:ascii="宋体"/>
          <w:szCs w:val="21"/>
        </w:rPr>
      </w:pPr>
      <w:r>
        <w:rPr>
          <w:rFonts w:hint="eastAsia" w:ascii="宋体"/>
          <w:szCs w:val="21"/>
        </w:rPr>
        <w:t>2.投标人需要特别说明的其他问题</w:t>
      </w:r>
    </w:p>
    <w:p>
      <w:pPr>
        <w:pStyle w:val="22"/>
        <w:tabs>
          <w:tab w:val="left" w:pos="0"/>
        </w:tabs>
        <w:adjustRightInd w:val="0"/>
        <w:snapToGrid w:val="0"/>
        <w:spacing w:line="360" w:lineRule="auto"/>
        <w:rPr>
          <w:rFonts w:ascii="Tahoma" w:hAnsi="Tahoma" w:cs="Tahoma"/>
          <w:color w:val="000000"/>
          <w:sz w:val="21"/>
          <w:szCs w:val="21"/>
        </w:rPr>
      </w:pPr>
    </w:p>
    <w:p>
      <w:pPr>
        <w:pStyle w:val="19"/>
        <w:jc w:val="center"/>
        <w:rPr>
          <w:rFonts w:ascii="黑体" w:cs="Times New Roman"/>
          <w:b/>
          <w:bCs/>
          <w:sz w:val="32"/>
          <w:szCs w:val="24"/>
        </w:rPr>
      </w:pPr>
      <w:bookmarkStart w:id="6" w:name="_Toc357086143"/>
      <w:r>
        <w:rPr>
          <w:rFonts w:hint="eastAsia" w:ascii="黑体" w:hAnsi="黑体" w:cs="Times New Roman"/>
          <w:b/>
          <w:bCs/>
          <w:sz w:val="32"/>
          <w:szCs w:val="24"/>
        </w:rPr>
        <w:t>第二节</w:t>
      </w:r>
      <w:r>
        <w:rPr>
          <w:rFonts w:hint="eastAsia" w:ascii="黑体" w:hAnsi="黑体" w:cs="Times New Roman"/>
          <w:b/>
          <w:bCs/>
          <w:sz w:val="32"/>
          <w:szCs w:val="24"/>
          <w:lang w:val="en-US" w:eastAsia="zh-CN"/>
        </w:rPr>
        <w:t xml:space="preserve"> </w:t>
      </w:r>
      <w:r>
        <w:rPr>
          <w:rFonts w:hint="eastAsia" w:ascii="黑体" w:hAnsi="黑体" w:cs="Times New Roman"/>
          <w:b/>
          <w:bCs/>
          <w:sz w:val="32"/>
          <w:szCs w:val="24"/>
        </w:rPr>
        <w:t>备件和工具</w:t>
      </w:r>
      <w:bookmarkEnd w:id="6"/>
    </w:p>
    <w:p>
      <w:pPr>
        <w:adjustRightInd w:val="0"/>
        <w:snapToGrid w:val="0"/>
        <w:spacing w:line="360" w:lineRule="auto"/>
        <w:jc w:val="center"/>
        <w:rPr>
          <w:rFonts w:ascii="宋体"/>
          <w:szCs w:val="21"/>
        </w:rPr>
      </w:pPr>
    </w:p>
    <w:p>
      <w:pPr>
        <w:adjustRightInd w:val="0"/>
        <w:snapToGrid w:val="0"/>
        <w:spacing w:before="156" w:beforeLines="50" w:line="360" w:lineRule="auto"/>
        <w:ind w:left="315" w:hanging="315" w:hangingChars="150"/>
        <w:rPr>
          <w:rFonts w:ascii="宋体"/>
          <w:szCs w:val="21"/>
        </w:rPr>
      </w:pPr>
      <w:r>
        <w:rPr>
          <w:rFonts w:ascii="宋体" w:hAnsi="宋体"/>
          <w:szCs w:val="21"/>
        </w:rPr>
        <w:t xml:space="preserve">1. </w:t>
      </w:r>
      <w:r>
        <w:rPr>
          <w:rFonts w:hint="eastAsia" w:ascii="宋体" w:hAnsi="宋体"/>
          <w:szCs w:val="21"/>
        </w:rPr>
        <w:t>所有为设备的安装、试运行、质保期内和质保期后</w:t>
      </w:r>
      <w:r>
        <w:rPr>
          <w:rFonts w:ascii="宋体" w:hAnsi="宋体"/>
          <w:szCs w:val="21"/>
        </w:rPr>
        <w:t>1</w:t>
      </w:r>
      <w:r>
        <w:rPr>
          <w:rFonts w:hint="eastAsia" w:ascii="宋体" w:hAnsi="宋体"/>
          <w:szCs w:val="21"/>
        </w:rPr>
        <w:t>年必备的备件、消耗品，包括专用工具、仪器、仪表等，在设备交货时提供。推迟的交货期将按照设备推迟交货计算。</w:t>
      </w:r>
    </w:p>
    <w:p>
      <w:pPr>
        <w:adjustRightInd w:val="0"/>
        <w:snapToGrid w:val="0"/>
        <w:spacing w:before="156" w:beforeLines="50" w:line="360" w:lineRule="auto"/>
        <w:ind w:left="315" w:hanging="315" w:hangingChars="150"/>
        <w:rPr>
          <w:rFonts w:ascii="宋体"/>
          <w:szCs w:val="21"/>
        </w:rPr>
      </w:pPr>
      <w:r>
        <w:rPr>
          <w:rFonts w:ascii="宋体" w:hAnsi="宋体"/>
          <w:szCs w:val="21"/>
        </w:rPr>
        <w:t xml:space="preserve">2. </w:t>
      </w:r>
      <w:r>
        <w:rPr>
          <w:rFonts w:hint="eastAsia" w:ascii="宋体" w:hAnsi="宋体"/>
          <w:szCs w:val="21"/>
        </w:rPr>
        <w:t>中标方应提供完整备件手册、备件件号、数量、规格型号、价格表的</w:t>
      </w:r>
      <w:r>
        <w:rPr>
          <w:rFonts w:ascii="宋体" w:hAnsi="宋体"/>
          <w:szCs w:val="21"/>
        </w:rPr>
        <w:t>CD</w:t>
      </w:r>
      <w:r>
        <w:rPr>
          <w:rFonts w:hint="eastAsia" w:ascii="宋体" w:hAnsi="宋体"/>
          <w:szCs w:val="21"/>
        </w:rPr>
        <w:t>盘，随同设备发货。</w:t>
      </w:r>
    </w:p>
    <w:p>
      <w:pPr>
        <w:adjustRightInd w:val="0"/>
        <w:snapToGrid w:val="0"/>
        <w:spacing w:before="156" w:beforeLines="50" w:line="360" w:lineRule="auto"/>
        <w:ind w:left="315" w:hanging="315" w:hangingChars="150"/>
        <w:rPr>
          <w:rFonts w:ascii="宋体"/>
          <w:szCs w:val="21"/>
        </w:rPr>
      </w:pPr>
      <w:r>
        <w:rPr>
          <w:rFonts w:ascii="宋体" w:hAnsi="宋体"/>
          <w:szCs w:val="21"/>
        </w:rPr>
        <w:t xml:space="preserve">3. </w:t>
      </w:r>
      <w:r>
        <w:rPr>
          <w:rFonts w:hint="eastAsia" w:ascii="宋体" w:hAnsi="宋体"/>
          <w:szCs w:val="21"/>
        </w:rPr>
        <w:t>中标方应保证所有零部件均有唯一编码，如属外购标准件，要求必须按照原厂家编码执行。</w:t>
      </w:r>
    </w:p>
    <w:p>
      <w:pPr>
        <w:adjustRightInd w:val="0"/>
        <w:snapToGrid w:val="0"/>
        <w:spacing w:before="156" w:beforeLines="50" w:line="360" w:lineRule="auto"/>
        <w:ind w:left="315" w:hanging="315" w:hangingChars="150"/>
        <w:rPr>
          <w:rFonts w:ascii="宋体"/>
          <w:szCs w:val="21"/>
        </w:rPr>
      </w:pPr>
      <w:r>
        <w:rPr>
          <w:rFonts w:ascii="宋体" w:hAnsi="宋体"/>
          <w:szCs w:val="21"/>
        </w:rPr>
        <w:t xml:space="preserve">4. </w:t>
      </w:r>
      <w:r>
        <w:rPr>
          <w:rFonts w:hint="eastAsia" w:ascii="宋体" w:hAnsi="宋体"/>
          <w:szCs w:val="21"/>
        </w:rPr>
        <w:t>中标方还应进一步提供设备上的所需的备件、易耗品及标准件的货源地，包括润滑油脂。</w:t>
      </w:r>
    </w:p>
    <w:p>
      <w:pPr>
        <w:adjustRightInd w:val="0"/>
        <w:snapToGrid w:val="0"/>
        <w:spacing w:before="156" w:beforeLines="50" w:line="360" w:lineRule="auto"/>
        <w:ind w:left="315" w:hanging="315" w:hangingChars="150"/>
        <w:rPr>
          <w:rFonts w:ascii="宋体"/>
          <w:szCs w:val="21"/>
        </w:rPr>
      </w:pPr>
      <w:r>
        <w:rPr>
          <w:rFonts w:ascii="宋体" w:hAnsi="宋体"/>
          <w:szCs w:val="21"/>
        </w:rPr>
        <w:t xml:space="preserve">5. </w:t>
      </w:r>
      <w:r>
        <w:rPr>
          <w:rFonts w:hint="eastAsia" w:ascii="宋体" w:hAnsi="宋体"/>
          <w:szCs w:val="21"/>
        </w:rPr>
        <w:t>设备采用的外购、外协件应提供原产地证明及检验合格证书。</w:t>
      </w:r>
    </w:p>
    <w:p>
      <w:pPr>
        <w:adjustRightInd w:val="0"/>
        <w:snapToGrid w:val="0"/>
        <w:spacing w:before="156" w:beforeLines="50" w:line="360" w:lineRule="auto"/>
        <w:ind w:left="315" w:hanging="315" w:hangingChars="150"/>
        <w:rPr>
          <w:rFonts w:ascii="宋体"/>
          <w:szCs w:val="21"/>
        </w:rPr>
      </w:pPr>
      <w:r>
        <w:rPr>
          <w:rFonts w:ascii="宋体" w:hAnsi="宋体"/>
          <w:szCs w:val="21"/>
        </w:rPr>
        <w:t xml:space="preserve">6. </w:t>
      </w:r>
      <w:r>
        <w:rPr>
          <w:rFonts w:hint="eastAsia" w:ascii="宋体" w:hAnsi="宋体"/>
          <w:szCs w:val="21"/>
        </w:rPr>
        <w:t>如因为中标人提供</w:t>
      </w:r>
      <w:r>
        <w:rPr>
          <w:rFonts w:ascii="宋体" w:hAnsi="宋体"/>
          <w:szCs w:val="21"/>
        </w:rPr>
        <w:t>1</w:t>
      </w:r>
      <w:r>
        <w:rPr>
          <w:rFonts w:hint="eastAsia" w:ascii="宋体" w:hAnsi="宋体"/>
          <w:szCs w:val="21"/>
        </w:rPr>
        <w:t>年期备件明细不准确，导致招标人方误采购或按明细提供数量不足以满足生产需求，中标人应免费提供相应的备件。</w:t>
      </w:r>
    </w:p>
    <w:p>
      <w:pPr>
        <w:adjustRightInd w:val="0"/>
        <w:snapToGrid w:val="0"/>
        <w:spacing w:before="156" w:beforeLines="50" w:line="360" w:lineRule="auto"/>
        <w:ind w:left="315" w:hanging="315" w:hangingChars="150"/>
        <w:rPr>
          <w:rFonts w:ascii="宋体"/>
          <w:szCs w:val="21"/>
        </w:rPr>
      </w:pPr>
      <w:r>
        <w:rPr>
          <w:rFonts w:ascii="宋体" w:hAnsi="宋体"/>
          <w:szCs w:val="21"/>
        </w:rPr>
        <w:t xml:space="preserve">7. </w:t>
      </w:r>
      <w:r>
        <w:rPr>
          <w:rFonts w:hint="eastAsia" w:ascii="宋体" w:hAnsi="宋体"/>
          <w:szCs w:val="21"/>
        </w:rPr>
        <w:t>中标人应保证长期以最优惠的价格供给易损件和备件。如果备件发生设计变更，应将变更信息及时通知招标人。</w:t>
      </w:r>
    </w:p>
    <w:p>
      <w:pPr>
        <w:adjustRightInd w:val="0"/>
        <w:snapToGrid w:val="0"/>
        <w:spacing w:before="156" w:beforeLines="50" w:line="360" w:lineRule="auto"/>
        <w:ind w:left="315" w:hanging="315" w:hangingChars="150"/>
        <w:rPr>
          <w:rFonts w:ascii="宋体"/>
          <w:szCs w:val="21"/>
        </w:rPr>
      </w:pPr>
      <w:r>
        <w:rPr>
          <w:rFonts w:ascii="宋体" w:hAnsi="宋体"/>
          <w:szCs w:val="21"/>
        </w:rPr>
        <w:t xml:space="preserve">8. </w:t>
      </w:r>
      <w:r>
        <w:rPr>
          <w:rFonts w:hint="eastAsia" w:ascii="宋体" w:hAnsi="宋体"/>
          <w:szCs w:val="21"/>
        </w:rPr>
        <w:t>中标人备件价格在设备开始使用的</w:t>
      </w:r>
      <w:r>
        <w:rPr>
          <w:rFonts w:ascii="宋体" w:hAnsi="宋体"/>
          <w:szCs w:val="21"/>
        </w:rPr>
        <w:t>3</w:t>
      </w:r>
      <w:r>
        <w:rPr>
          <w:rFonts w:hint="eastAsia" w:ascii="宋体" w:hAnsi="宋体"/>
          <w:szCs w:val="21"/>
        </w:rPr>
        <w:t>年内必须维持稳定。</w:t>
      </w:r>
    </w:p>
    <w:p>
      <w:pPr>
        <w:adjustRightInd w:val="0"/>
        <w:snapToGrid w:val="0"/>
        <w:spacing w:before="156" w:beforeLines="50" w:line="360" w:lineRule="auto"/>
        <w:ind w:left="315" w:hanging="315" w:hangingChars="150"/>
        <w:rPr>
          <w:rFonts w:ascii="宋体"/>
          <w:szCs w:val="21"/>
        </w:rPr>
      </w:pPr>
      <w:r>
        <w:rPr>
          <w:rFonts w:ascii="宋体" w:hAnsi="宋体"/>
          <w:szCs w:val="21"/>
        </w:rPr>
        <w:t xml:space="preserve">9. </w:t>
      </w:r>
      <w:r>
        <w:rPr>
          <w:rFonts w:hint="eastAsia" w:ascii="宋体" w:hAnsi="宋体"/>
          <w:szCs w:val="21"/>
        </w:rPr>
        <w:t>在</w:t>
      </w:r>
      <w:r>
        <w:rPr>
          <w:rFonts w:ascii="宋体" w:hAnsi="宋体"/>
          <w:szCs w:val="21"/>
        </w:rPr>
        <w:t>5</w:t>
      </w:r>
      <w:r>
        <w:rPr>
          <w:rFonts w:hint="eastAsia" w:ascii="宋体" w:hAnsi="宋体"/>
          <w:szCs w:val="21"/>
        </w:rPr>
        <w:t>年内，因中标人技术升级导致部分备件不能提供时，中标人要免费为用户升级设备。</w:t>
      </w:r>
    </w:p>
    <w:p>
      <w:pPr>
        <w:adjustRightInd w:val="0"/>
        <w:snapToGrid w:val="0"/>
        <w:spacing w:before="156" w:beforeLines="50" w:line="360" w:lineRule="auto"/>
        <w:ind w:left="315" w:hanging="315" w:hangingChars="150"/>
        <w:rPr>
          <w:rFonts w:ascii="宋体"/>
          <w:szCs w:val="21"/>
        </w:rPr>
      </w:pPr>
      <w:r>
        <w:rPr>
          <w:rFonts w:ascii="宋体" w:hAnsi="宋体"/>
          <w:szCs w:val="21"/>
        </w:rPr>
        <w:t>10. 5</w:t>
      </w:r>
      <w:r>
        <w:rPr>
          <w:rFonts w:hint="eastAsia" w:ascii="宋体" w:hAnsi="宋体"/>
          <w:szCs w:val="21"/>
        </w:rPr>
        <w:t>年后在备件停止生产的情况下，中标人应事先将要停止生产的计划通知招标人，使招标人有足够的时间采购所需的备件。</w:t>
      </w:r>
    </w:p>
    <w:p>
      <w:pPr>
        <w:adjustRightInd w:val="0"/>
        <w:snapToGrid w:val="0"/>
        <w:spacing w:before="156" w:beforeLines="50" w:line="360" w:lineRule="auto"/>
        <w:ind w:left="315" w:hanging="315" w:hangingChars="150"/>
        <w:rPr>
          <w:rFonts w:ascii="宋体"/>
          <w:szCs w:val="21"/>
        </w:rPr>
      </w:pPr>
      <w:r>
        <w:rPr>
          <w:rFonts w:ascii="宋体" w:hAnsi="宋体"/>
          <w:szCs w:val="21"/>
        </w:rPr>
        <w:t>11. 5</w:t>
      </w:r>
      <w:r>
        <w:rPr>
          <w:rFonts w:hint="eastAsia" w:ascii="宋体" w:hAnsi="宋体"/>
          <w:szCs w:val="21"/>
        </w:rPr>
        <w:t>年后在备件停止生产后，如果招标人要求，中标人应免费向买方提供备件的蓝图、图纸和规格。</w:t>
      </w:r>
    </w:p>
    <w:p>
      <w:pPr>
        <w:pStyle w:val="7"/>
        <w:adjustRightInd w:val="0"/>
        <w:snapToGrid w:val="0"/>
        <w:spacing w:before="156" w:beforeLines="50" w:line="360" w:lineRule="auto"/>
        <w:rPr>
          <w:rFonts w:ascii="宋体"/>
          <w:szCs w:val="21"/>
        </w:rPr>
      </w:pPr>
    </w:p>
    <w:p>
      <w:pPr>
        <w:pStyle w:val="19"/>
        <w:jc w:val="center"/>
      </w:pPr>
      <w:r>
        <w:rPr>
          <w:rFonts w:ascii="宋体" w:eastAsia="宋体"/>
          <w:szCs w:val="21"/>
        </w:rPr>
        <w:br w:type="page"/>
      </w:r>
    </w:p>
    <w:p>
      <w:pPr>
        <w:pStyle w:val="19"/>
        <w:jc w:val="center"/>
        <w:rPr>
          <w:rFonts w:ascii="黑体" w:cs="Times New Roman"/>
          <w:b/>
          <w:bCs/>
          <w:sz w:val="32"/>
          <w:szCs w:val="24"/>
        </w:rPr>
      </w:pPr>
      <w:bookmarkStart w:id="7" w:name="_Toc357086144"/>
      <w:r>
        <w:rPr>
          <w:rFonts w:hint="eastAsia" w:ascii="黑体" w:hAnsi="黑体" w:cs="Times New Roman"/>
          <w:b/>
          <w:bCs/>
          <w:sz w:val="32"/>
          <w:szCs w:val="24"/>
        </w:rPr>
        <w:t>第三节设备出厂前检验</w:t>
      </w:r>
      <w:bookmarkEnd w:id="7"/>
    </w:p>
    <w:p>
      <w:pPr>
        <w:adjustRightInd w:val="0"/>
        <w:snapToGrid w:val="0"/>
        <w:spacing w:line="360" w:lineRule="auto"/>
        <w:jc w:val="center"/>
        <w:rPr>
          <w:rFonts w:ascii="宋体"/>
          <w:szCs w:val="21"/>
        </w:rPr>
      </w:pPr>
    </w:p>
    <w:p>
      <w:pPr>
        <w:adjustRightInd w:val="0"/>
        <w:snapToGrid w:val="0"/>
        <w:spacing w:before="156" w:beforeLines="50" w:line="360" w:lineRule="auto"/>
        <w:ind w:left="315" w:hanging="315" w:hangingChars="150"/>
        <w:rPr>
          <w:rFonts w:ascii="宋体"/>
          <w:szCs w:val="21"/>
        </w:rPr>
      </w:pPr>
      <w:r>
        <w:rPr>
          <w:rFonts w:ascii="宋体" w:hAnsi="宋体"/>
          <w:szCs w:val="21"/>
        </w:rPr>
        <w:t xml:space="preserve">1. </w:t>
      </w:r>
      <w:r>
        <w:rPr>
          <w:rFonts w:hint="eastAsia" w:ascii="宋体" w:hAnsi="宋体"/>
          <w:szCs w:val="21"/>
        </w:rPr>
        <w:t>为了对合同设备及其相关设备生产期间的质量检验，招标人有权派人到中标人所在工厂进行检验。对于在中标人所在地的交通费用和为便于招标人质检要求，诸如必要的安全用具、办公用品、技术文件和图纸、核算数据、制造和检验标准及其它必备的检验数据应由中标人免费提供。</w:t>
      </w:r>
    </w:p>
    <w:p>
      <w:pPr>
        <w:adjustRightInd w:val="0"/>
        <w:snapToGrid w:val="0"/>
        <w:spacing w:before="156" w:beforeLines="50" w:line="360" w:lineRule="auto"/>
        <w:ind w:left="315" w:hanging="315" w:hangingChars="150"/>
        <w:rPr>
          <w:rFonts w:ascii="宋体"/>
          <w:szCs w:val="21"/>
        </w:rPr>
      </w:pPr>
      <w:r>
        <w:rPr>
          <w:rFonts w:ascii="宋体" w:hAnsi="宋体"/>
          <w:szCs w:val="21"/>
        </w:rPr>
        <w:t xml:space="preserve">2. </w:t>
      </w:r>
      <w:r>
        <w:rPr>
          <w:rFonts w:hint="eastAsia" w:ascii="宋体" w:hAnsi="宋体"/>
          <w:szCs w:val="21"/>
        </w:rPr>
        <w:t>在制造期间招标人的一切监理和质检活动所形成的书面资料均不作为中标人产品质量证明文件。在交货前招标人的质检，既不能免去合同中属于供货商质量担保期范围内的责任，也不能替代设备抵运招标人现场的质量检验。</w:t>
      </w:r>
    </w:p>
    <w:p>
      <w:pPr>
        <w:adjustRightInd w:val="0"/>
        <w:snapToGrid w:val="0"/>
        <w:spacing w:before="156" w:beforeLines="50" w:line="360" w:lineRule="auto"/>
        <w:rPr>
          <w:rFonts w:ascii="宋体"/>
          <w:szCs w:val="21"/>
        </w:rPr>
      </w:pPr>
      <w:r>
        <w:rPr>
          <w:rFonts w:ascii="宋体" w:hAnsi="宋体"/>
          <w:szCs w:val="21"/>
        </w:rPr>
        <w:t>3</w:t>
      </w:r>
      <w:r>
        <w:rPr>
          <w:rFonts w:hint="eastAsia" w:ascii="宋体" w:hAnsi="宋体"/>
          <w:szCs w:val="21"/>
        </w:rPr>
        <w:t>．在中检中质检团成员发现或提出的问题，双方应积极通过友好协商解决。</w:t>
      </w:r>
    </w:p>
    <w:p>
      <w:pPr>
        <w:adjustRightInd w:val="0"/>
        <w:snapToGrid w:val="0"/>
        <w:spacing w:before="156" w:beforeLines="50" w:line="360" w:lineRule="auto"/>
        <w:ind w:left="315" w:hanging="315" w:hangingChars="150"/>
        <w:rPr>
          <w:rFonts w:ascii="宋体"/>
          <w:szCs w:val="21"/>
        </w:rPr>
      </w:pPr>
      <w:r>
        <w:rPr>
          <w:rFonts w:ascii="宋体" w:hAnsi="宋体"/>
          <w:szCs w:val="21"/>
        </w:rPr>
        <w:t xml:space="preserve">4. </w:t>
      </w:r>
      <w:r>
        <w:rPr>
          <w:rFonts w:hint="eastAsia" w:ascii="宋体" w:hAnsi="宋体"/>
          <w:szCs w:val="21"/>
        </w:rPr>
        <w:t>设备在出厂前必须进行整体联合试运转，根据试运转时间确定招标人中检时间，联合试运转应在招标人中检人员监督下进行。</w:t>
      </w:r>
    </w:p>
    <w:p>
      <w:pPr>
        <w:adjustRightInd w:val="0"/>
        <w:snapToGrid w:val="0"/>
        <w:spacing w:before="156" w:beforeLines="50" w:line="360" w:lineRule="auto"/>
        <w:ind w:left="315" w:hanging="315" w:hangingChars="150"/>
        <w:rPr>
          <w:rFonts w:ascii="宋体"/>
          <w:szCs w:val="21"/>
        </w:rPr>
      </w:pPr>
      <w:r>
        <w:rPr>
          <w:rFonts w:ascii="宋体" w:hAnsi="宋体"/>
          <w:szCs w:val="21"/>
        </w:rPr>
        <w:t xml:space="preserve">5. </w:t>
      </w:r>
      <w:r>
        <w:rPr>
          <w:rFonts w:hint="eastAsia" w:ascii="宋体" w:hAnsi="宋体"/>
          <w:szCs w:val="21"/>
        </w:rPr>
        <w:t>在设备到达招标人现场后组装试运转中如出现问题，原因是中标人没有在出厂前进行设备整体联合试运转，因此推迟的时间将按照推迟交货期来计算。</w:t>
      </w:r>
    </w:p>
    <w:p>
      <w:pPr>
        <w:pStyle w:val="7"/>
        <w:adjustRightInd w:val="0"/>
        <w:snapToGrid w:val="0"/>
        <w:spacing w:line="360" w:lineRule="auto"/>
        <w:rPr>
          <w:rFonts w:ascii="宋体"/>
          <w:szCs w:val="21"/>
        </w:rPr>
      </w:pPr>
    </w:p>
    <w:p>
      <w:pPr>
        <w:pStyle w:val="19"/>
        <w:jc w:val="center"/>
      </w:pPr>
      <w:r>
        <w:rPr>
          <w:rFonts w:ascii="宋体" w:eastAsia="宋体"/>
          <w:szCs w:val="21"/>
        </w:rPr>
        <w:br w:type="page"/>
      </w:r>
      <w:bookmarkStart w:id="8" w:name="_Toc357086145"/>
      <w:r>
        <w:rPr>
          <w:rFonts w:hint="eastAsia" w:ascii="黑体" w:hAnsi="黑体" w:cs="Times New Roman"/>
          <w:b/>
          <w:bCs/>
          <w:sz w:val="32"/>
          <w:szCs w:val="24"/>
        </w:rPr>
        <w:t>第四节技术服务</w:t>
      </w:r>
      <w:bookmarkEnd w:id="8"/>
    </w:p>
    <w:p>
      <w:pPr>
        <w:adjustRightInd w:val="0"/>
        <w:snapToGrid w:val="0"/>
        <w:spacing w:line="360" w:lineRule="auto"/>
        <w:jc w:val="center"/>
        <w:rPr>
          <w:rFonts w:ascii="宋体"/>
          <w:szCs w:val="21"/>
        </w:rPr>
      </w:pPr>
    </w:p>
    <w:p>
      <w:pPr>
        <w:adjustRightInd w:val="0"/>
        <w:snapToGrid w:val="0"/>
        <w:spacing w:before="156" w:beforeLines="50" w:line="360" w:lineRule="auto"/>
        <w:ind w:left="315" w:hanging="315" w:hangingChars="150"/>
        <w:rPr>
          <w:rFonts w:ascii="宋体"/>
          <w:szCs w:val="21"/>
        </w:rPr>
      </w:pPr>
      <w:r>
        <w:rPr>
          <w:rFonts w:ascii="宋体" w:hAnsi="宋体"/>
          <w:szCs w:val="21"/>
        </w:rPr>
        <w:t xml:space="preserve">1. </w:t>
      </w:r>
      <w:r>
        <w:rPr>
          <w:rFonts w:hint="eastAsia" w:ascii="宋体" w:hAnsi="宋体"/>
          <w:szCs w:val="21"/>
        </w:rPr>
        <w:t>中标人将派出有技术、有能力胜任的服务工程师到现场，提供有关安装管理、调试、空载测试、性能测试、试运转、维修及现场培训维修人员的服务。中标人服务工程师的主要责任与任务如下：</w:t>
      </w:r>
    </w:p>
    <w:p>
      <w:pPr>
        <w:adjustRightInd w:val="0"/>
        <w:snapToGrid w:val="0"/>
        <w:spacing w:before="156" w:beforeLines="50" w:line="360" w:lineRule="auto"/>
        <w:ind w:firstLine="525"/>
        <w:rPr>
          <w:rFonts w:ascii="宋体"/>
          <w:szCs w:val="21"/>
        </w:rPr>
      </w:pPr>
      <w:r>
        <w:rPr>
          <w:rFonts w:ascii="宋体" w:hAnsi="宋体"/>
          <w:szCs w:val="21"/>
        </w:rPr>
        <w:t>——</w:t>
      </w:r>
      <w:r>
        <w:rPr>
          <w:rFonts w:hint="eastAsia" w:ascii="宋体" w:hAnsi="宋体"/>
          <w:szCs w:val="21"/>
        </w:rPr>
        <w:t>给招标人安装人员提供完整的技术指导。</w:t>
      </w:r>
    </w:p>
    <w:p>
      <w:pPr>
        <w:adjustRightInd w:val="0"/>
        <w:snapToGrid w:val="0"/>
        <w:spacing w:before="156" w:beforeLines="50" w:line="360" w:lineRule="auto"/>
        <w:ind w:firstLine="525"/>
        <w:rPr>
          <w:rFonts w:ascii="宋体"/>
          <w:szCs w:val="21"/>
        </w:rPr>
      </w:pPr>
      <w:r>
        <w:rPr>
          <w:rFonts w:ascii="宋体" w:hAnsi="宋体"/>
          <w:szCs w:val="21"/>
        </w:rPr>
        <w:t>——</w:t>
      </w:r>
      <w:r>
        <w:rPr>
          <w:rFonts w:hint="eastAsia" w:ascii="宋体" w:hAnsi="宋体"/>
          <w:szCs w:val="21"/>
        </w:rPr>
        <w:t>指导招标人人员进行合同设备的试运转，运行测试和性能测试。</w:t>
      </w:r>
    </w:p>
    <w:p>
      <w:pPr>
        <w:adjustRightInd w:val="0"/>
        <w:snapToGrid w:val="0"/>
        <w:spacing w:before="156" w:beforeLines="50" w:line="360" w:lineRule="auto"/>
        <w:ind w:firstLine="525"/>
        <w:rPr>
          <w:rFonts w:ascii="宋体"/>
          <w:szCs w:val="21"/>
        </w:rPr>
      </w:pPr>
      <w:r>
        <w:rPr>
          <w:rFonts w:ascii="宋体" w:hAnsi="宋体"/>
          <w:szCs w:val="21"/>
        </w:rPr>
        <w:t>——</w:t>
      </w:r>
      <w:r>
        <w:rPr>
          <w:rFonts w:hint="eastAsia" w:ascii="宋体" w:hAnsi="宋体"/>
          <w:szCs w:val="21"/>
        </w:rPr>
        <w:t>培训招标人人员。</w:t>
      </w:r>
    </w:p>
    <w:p>
      <w:pPr>
        <w:adjustRightInd w:val="0"/>
        <w:snapToGrid w:val="0"/>
        <w:spacing w:before="156" w:beforeLines="50" w:line="360" w:lineRule="auto"/>
        <w:ind w:firstLine="525"/>
        <w:rPr>
          <w:rFonts w:ascii="宋体"/>
          <w:szCs w:val="21"/>
        </w:rPr>
      </w:pPr>
      <w:r>
        <w:rPr>
          <w:rFonts w:ascii="宋体" w:hAnsi="宋体"/>
          <w:szCs w:val="21"/>
        </w:rPr>
        <w:t>——</w:t>
      </w:r>
      <w:r>
        <w:rPr>
          <w:rFonts w:hint="eastAsia" w:ascii="宋体" w:hAnsi="宋体"/>
          <w:szCs w:val="21"/>
        </w:rPr>
        <w:t>设备投入使用后提供现场运行技术支持。</w:t>
      </w:r>
    </w:p>
    <w:p>
      <w:pPr>
        <w:adjustRightInd w:val="0"/>
        <w:snapToGrid w:val="0"/>
        <w:spacing w:before="156" w:beforeLines="50" w:line="360" w:lineRule="auto"/>
        <w:ind w:firstLine="525"/>
        <w:rPr>
          <w:rFonts w:ascii="宋体"/>
          <w:szCs w:val="21"/>
        </w:rPr>
      </w:pPr>
      <w:r>
        <w:rPr>
          <w:rFonts w:ascii="宋体" w:hAnsi="宋体"/>
          <w:szCs w:val="21"/>
        </w:rPr>
        <w:t>——</w:t>
      </w:r>
      <w:r>
        <w:rPr>
          <w:rFonts w:hint="eastAsia" w:ascii="宋体" w:hAnsi="宋体"/>
          <w:szCs w:val="21"/>
        </w:rPr>
        <w:t>质保期内技术服务。</w:t>
      </w:r>
    </w:p>
    <w:p>
      <w:pPr>
        <w:adjustRightInd w:val="0"/>
        <w:snapToGrid w:val="0"/>
        <w:spacing w:before="156" w:beforeLines="50" w:line="360" w:lineRule="auto"/>
        <w:ind w:left="315" w:hanging="315" w:hangingChars="150"/>
        <w:rPr>
          <w:rFonts w:ascii="宋体"/>
          <w:szCs w:val="21"/>
        </w:rPr>
      </w:pPr>
      <w:r>
        <w:rPr>
          <w:rFonts w:ascii="宋体" w:hAnsi="宋体"/>
          <w:szCs w:val="21"/>
        </w:rPr>
        <w:t xml:space="preserve">2. </w:t>
      </w:r>
      <w:r>
        <w:rPr>
          <w:rFonts w:hint="eastAsia" w:ascii="宋体" w:hAnsi="宋体"/>
          <w:szCs w:val="21"/>
        </w:rPr>
        <w:t>安装前，应由中标人的技术服务人员给予招标人安装人员提供合同设备的装配介绍、讲课与培训；详细解释技术文件、图纸和操作手册以及设备运行和相关的预防措施等；回答和解决招标人人员提出的技术问题。中标人技术人员的指导必须是正确的，如果出现由于非正确技术指导而造成的损失，中标人将自出资金维修、更换或补偿损失部分。</w:t>
      </w:r>
    </w:p>
    <w:p>
      <w:pPr>
        <w:adjustRightInd w:val="0"/>
        <w:snapToGrid w:val="0"/>
        <w:spacing w:before="156" w:beforeLines="50" w:line="360" w:lineRule="auto"/>
        <w:ind w:left="315" w:hanging="315" w:hangingChars="150"/>
        <w:rPr>
          <w:rFonts w:ascii="宋体"/>
          <w:szCs w:val="21"/>
        </w:rPr>
      </w:pPr>
      <w:r>
        <w:rPr>
          <w:rFonts w:ascii="宋体" w:hAnsi="宋体"/>
          <w:szCs w:val="21"/>
        </w:rPr>
        <w:t>3.</w:t>
      </w:r>
      <w:r>
        <w:rPr>
          <w:rFonts w:hint="eastAsia" w:ascii="宋体" w:hAnsi="宋体"/>
          <w:szCs w:val="21"/>
        </w:rPr>
        <w:t>中标人将提供所有的关于装配与组装所用的专用工具</w:t>
      </w:r>
      <w:r>
        <w:rPr>
          <w:rFonts w:ascii="宋体"/>
          <w:szCs w:val="21"/>
        </w:rPr>
        <w:t>,</w:t>
      </w:r>
      <w:r>
        <w:rPr>
          <w:rFonts w:hint="eastAsia" w:ascii="宋体" w:hAnsi="宋体"/>
          <w:szCs w:val="21"/>
        </w:rPr>
        <w:t>例如</w:t>
      </w:r>
      <w:r>
        <w:rPr>
          <w:rFonts w:ascii="宋体" w:hAnsi="宋体"/>
          <w:szCs w:val="21"/>
        </w:rPr>
        <w:t>:</w:t>
      </w:r>
      <w:r>
        <w:rPr>
          <w:rFonts w:hint="eastAsia" w:ascii="宋体" w:hAnsi="宋体"/>
          <w:szCs w:val="21"/>
        </w:rPr>
        <w:t>专用测试仪、测量仪和机械工具。</w:t>
      </w:r>
    </w:p>
    <w:p>
      <w:pPr>
        <w:adjustRightInd w:val="0"/>
        <w:snapToGrid w:val="0"/>
        <w:spacing w:before="156" w:beforeLines="50" w:line="360" w:lineRule="auto"/>
        <w:ind w:left="315" w:hanging="315" w:hangingChars="150"/>
        <w:rPr>
          <w:rFonts w:ascii="宋体"/>
          <w:szCs w:val="21"/>
        </w:rPr>
      </w:pPr>
      <w:r>
        <w:rPr>
          <w:rFonts w:ascii="宋体" w:hAnsi="宋体"/>
          <w:szCs w:val="21"/>
        </w:rPr>
        <w:t>4.</w:t>
      </w:r>
      <w:r>
        <w:rPr>
          <w:rFonts w:hint="eastAsia" w:ascii="宋体" w:hAnsi="宋体"/>
          <w:szCs w:val="21"/>
        </w:rPr>
        <w:t>在现场举行由双方参加的会议，对所提供设备进行安装的准备工作进行讨论。</w:t>
      </w:r>
    </w:p>
    <w:p>
      <w:pPr>
        <w:adjustRightInd w:val="0"/>
        <w:snapToGrid w:val="0"/>
        <w:spacing w:before="156" w:beforeLines="50" w:line="360" w:lineRule="auto"/>
        <w:ind w:left="315" w:hanging="315" w:hangingChars="150"/>
        <w:rPr>
          <w:rFonts w:ascii="宋体"/>
          <w:szCs w:val="21"/>
        </w:rPr>
      </w:pPr>
      <w:r>
        <w:rPr>
          <w:rFonts w:ascii="宋体" w:hAnsi="宋体"/>
          <w:szCs w:val="21"/>
        </w:rPr>
        <w:t xml:space="preserve">5. </w:t>
      </w:r>
      <w:r>
        <w:rPr>
          <w:rFonts w:hint="eastAsia" w:ascii="宋体" w:hAnsi="宋体"/>
          <w:szCs w:val="21"/>
        </w:rPr>
        <w:t>对于安装指导、测试运转、性能测试、试运转和验收，包括招标人操作和维修人员的现场培训</w:t>
      </w:r>
      <w:r>
        <w:rPr>
          <w:rFonts w:ascii="宋体"/>
          <w:szCs w:val="21"/>
        </w:rPr>
        <w:t>,</w:t>
      </w:r>
      <w:r>
        <w:rPr>
          <w:rFonts w:hint="eastAsia" w:ascii="宋体" w:hAnsi="宋体"/>
          <w:szCs w:val="21"/>
        </w:rPr>
        <w:t>中标人需免费提供。</w:t>
      </w:r>
    </w:p>
    <w:p>
      <w:pPr>
        <w:adjustRightInd w:val="0"/>
        <w:snapToGrid w:val="0"/>
        <w:spacing w:before="156" w:beforeLines="50" w:line="360" w:lineRule="auto"/>
        <w:ind w:left="315" w:hanging="315" w:hangingChars="150"/>
        <w:rPr>
          <w:rFonts w:ascii="宋体"/>
          <w:szCs w:val="21"/>
        </w:rPr>
      </w:pPr>
      <w:r>
        <w:rPr>
          <w:rFonts w:ascii="宋体" w:hAnsi="宋体"/>
          <w:szCs w:val="21"/>
        </w:rPr>
        <w:t xml:space="preserve">6. </w:t>
      </w:r>
      <w:r>
        <w:rPr>
          <w:rFonts w:hint="eastAsia" w:ascii="宋体" w:hAnsi="宋体"/>
          <w:szCs w:val="21"/>
        </w:rPr>
        <w:t>中标人应提供用于招标人自行培训人员需要使用的相关培训资料。</w:t>
      </w:r>
    </w:p>
    <w:p>
      <w:pPr>
        <w:adjustRightInd w:val="0"/>
        <w:snapToGrid w:val="0"/>
        <w:spacing w:before="156" w:beforeLines="50" w:line="360" w:lineRule="auto"/>
        <w:ind w:left="315" w:hanging="315" w:hangingChars="150"/>
        <w:rPr>
          <w:rFonts w:ascii="宋体"/>
          <w:szCs w:val="21"/>
        </w:rPr>
      </w:pPr>
      <w:r>
        <w:rPr>
          <w:rFonts w:ascii="宋体" w:hAnsi="宋体"/>
          <w:szCs w:val="21"/>
        </w:rPr>
        <w:t xml:space="preserve">7. </w:t>
      </w:r>
      <w:r>
        <w:rPr>
          <w:rFonts w:hint="eastAsia" w:ascii="宋体" w:hAnsi="宋体"/>
          <w:szCs w:val="21"/>
        </w:rPr>
        <w:t>设备过质保期后，在设备使用寿命内，如招标人需要，中标人应确保服务工程师到现场进行技术服务。</w:t>
      </w:r>
    </w:p>
    <w:p>
      <w:pPr>
        <w:adjustRightInd w:val="0"/>
        <w:snapToGrid w:val="0"/>
        <w:spacing w:before="156" w:beforeLines="50" w:line="360" w:lineRule="auto"/>
        <w:ind w:left="315" w:hanging="315" w:hangingChars="150"/>
        <w:rPr>
          <w:rFonts w:ascii="宋体"/>
          <w:szCs w:val="21"/>
        </w:rPr>
      </w:pPr>
      <w:r>
        <w:rPr>
          <w:rFonts w:ascii="宋体" w:hAnsi="宋体"/>
          <w:szCs w:val="21"/>
        </w:rPr>
        <w:t xml:space="preserve">8. </w:t>
      </w:r>
      <w:r>
        <w:rPr>
          <w:rFonts w:hint="eastAsia" w:ascii="宋体" w:hAnsi="宋体"/>
          <w:szCs w:val="21"/>
        </w:rPr>
        <w:t>设备第一次在招标人组装、试运转时中标人必须派设备制造工厂技术服务工程师在规定时间内到现场进行技术指导。因技术服务工程师未按时到达组装现场导致设备不能按期投入使用，延误时间按推迟交货期来计算。</w:t>
      </w:r>
    </w:p>
    <w:p>
      <w:pPr>
        <w:pStyle w:val="19"/>
        <w:jc w:val="center"/>
      </w:pPr>
      <w:r>
        <w:rPr>
          <w:rFonts w:ascii="宋体" w:eastAsia="宋体"/>
          <w:szCs w:val="21"/>
        </w:rPr>
        <w:br w:type="page"/>
      </w:r>
      <w:bookmarkStart w:id="9" w:name="_Toc357086146"/>
      <w:r>
        <w:rPr>
          <w:rFonts w:hint="eastAsia" w:ascii="黑体" w:hAnsi="黑体" w:cs="Times New Roman"/>
          <w:b/>
          <w:bCs/>
          <w:sz w:val="32"/>
          <w:szCs w:val="24"/>
        </w:rPr>
        <w:t>第五节安装、检验、调试、试运行及验收</w:t>
      </w:r>
      <w:bookmarkEnd w:id="9"/>
    </w:p>
    <w:p>
      <w:pPr>
        <w:adjustRightInd w:val="0"/>
        <w:snapToGrid w:val="0"/>
        <w:spacing w:line="360" w:lineRule="auto"/>
        <w:jc w:val="center"/>
        <w:rPr>
          <w:rFonts w:ascii="宋体"/>
          <w:szCs w:val="21"/>
        </w:rPr>
      </w:pPr>
    </w:p>
    <w:p>
      <w:pPr>
        <w:adjustRightInd w:val="0"/>
        <w:snapToGrid w:val="0"/>
        <w:spacing w:before="156" w:beforeLines="50" w:line="360" w:lineRule="auto"/>
        <w:ind w:left="315" w:hanging="315" w:hangingChars="150"/>
        <w:rPr>
          <w:rFonts w:ascii="宋体"/>
          <w:szCs w:val="21"/>
        </w:rPr>
      </w:pPr>
      <w:r>
        <w:rPr>
          <w:rFonts w:ascii="宋体" w:hAnsi="宋体"/>
          <w:szCs w:val="21"/>
        </w:rPr>
        <w:t xml:space="preserve">1. </w:t>
      </w:r>
      <w:r>
        <w:rPr>
          <w:rFonts w:hint="eastAsia" w:ascii="宋体" w:hAnsi="宋体"/>
          <w:szCs w:val="21"/>
        </w:rPr>
        <w:t>在该附录中：</w:t>
      </w:r>
    </w:p>
    <w:p>
      <w:pPr>
        <w:adjustRightInd w:val="0"/>
        <w:snapToGrid w:val="0"/>
        <w:spacing w:before="156" w:beforeLines="50" w:line="360" w:lineRule="auto"/>
        <w:ind w:left="708" w:leftChars="135" w:hanging="425"/>
        <w:rPr>
          <w:rFonts w:ascii="宋体"/>
          <w:szCs w:val="21"/>
        </w:rPr>
      </w:pPr>
      <w:r>
        <w:rPr>
          <w:rFonts w:hint="eastAsia" w:ascii="宋体" w:hAnsi="宋体"/>
          <w:szCs w:val="21"/>
        </w:rPr>
        <w:t>安装：意为招标人安装人员在中标人的服务工程人员的监督与指导下，将整套设备或一个系统安装起来。</w:t>
      </w:r>
    </w:p>
    <w:p>
      <w:pPr>
        <w:adjustRightInd w:val="0"/>
        <w:snapToGrid w:val="0"/>
        <w:spacing w:before="156" w:beforeLines="50" w:line="360" w:lineRule="auto"/>
        <w:ind w:left="708" w:leftChars="135" w:hanging="425"/>
        <w:rPr>
          <w:rFonts w:ascii="宋体"/>
          <w:szCs w:val="21"/>
        </w:rPr>
      </w:pPr>
      <w:r>
        <w:rPr>
          <w:rFonts w:hint="eastAsia" w:ascii="宋体" w:hAnsi="宋体"/>
          <w:szCs w:val="21"/>
        </w:rPr>
        <w:t>试运转：即为在空载条件下测试该设备。</w:t>
      </w:r>
    </w:p>
    <w:p>
      <w:pPr>
        <w:adjustRightInd w:val="0"/>
        <w:snapToGrid w:val="0"/>
        <w:spacing w:before="156" w:beforeLines="50" w:line="360" w:lineRule="auto"/>
        <w:ind w:left="708" w:leftChars="135" w:hanging="425"/>
        <w:rPr>
          <w:rFonts w:ascii="宋体"/>
          <w:szCs w:val="21"/>
        </w:rPr>
      </w:pPr>
      <w:r>
        <w:rPr>
          <w:rFonts w:hint="eastAsia" w:ascii="宋体" w:hAnsi="宋体"/>
          <w:szCs w:val="21"/>
        </w:rPr>
        <w:t>性能调试：即在它们的额定负载下测试设备，检查其是否能达到合同规定的所有技术性能。</w:t>
      </w:r>
    </w:p>
    <w:p>
      <w:pPr>
        <w:adjustRightInd w:val="0"/>
        <w:snapToGrid w:val="0"/>
        <w:spacing w:before="156" w:beforeLines="50" w:line="360" w:lineRule="auto"/>
        <w:ind w:left="708" w:leftChars="135" w:hanging="425"/>
        <w:rPr>
          <w:rFonts w:ascii="宋体"/>
          <w:szCs w:val="21"/>
        </w:rPr>
      </w:pPr>
      <w:r>
        <w:rPr>
          <w:rFonts w:hint="eastAsia" w:ascii="宋体" w:hAnsi="宋体"/>
          <w:szCs w:val="21"/>
        </w:rPr>
        <w:t>试运行：即为设备按照合同要求性能投入运转。</w:t>
      </w:r>
    </w:p>
    <w:p>
      <w:pPr>
        <w:adjustRightInd w:val="0"/>
        <w:snapToGrid w:val="0"/>
        <w:spacing w:before="156" w:beforeLines="50" w:line="360" w:lineRule="auto"/>
        <w:ind w:left="708" w:leftChars="135" w:hanging="425"/>
        <w:rPr>
          <w:rFonts w:ascii="宋体"/>
          <w:szCs w:val="21"/>
        </w:rPr>
      </w:pPr>
      <w:r>
        <w:rPr>
          <w:rFonts w:hint="eastAsia" w:ascii="宋体" w:hAnsi="宋体"/>
          <w:szCs w:val="21"/>
        </w:rPr>
        <w:t>验收：即为该设备达到合同规定的试运转、性能调试和试运行技术要求后招标人正式接收。</w:t>
      </w:r>
    </w:p>
    <w:p>
      <w:pPr>
        <w:adjustRightInd w:val="0"/>
        <w:snapToGrid w:val="0"/>
        <w:spacing w:before="156" w:beforeLines="50" w:line="360" w:lineRule="auto"/>
        <w:ind w:left="283" w:hanging="283" w:hangingChars="135"/>
        <w:rPr>
          <w:rFonts w:ascii="宋体"/>
          <w:szCs w:val="21"/>
        </w:rPr>
      </w:pPr>
      <w:r>
        <w:rPr>
          <w:rFonts w:ascii="宋体" w:hAnsi="宋体"/>
          <w:szCs w:val="21"/>
        </w:rPr>
        <w:t xml:space="preserve">2. </w:t>
      </w:r>
      <w:r>
        <w:rPr>
          <w:rFonts w:hint="eastAsia" w:ascii="宋体" w:hAnsi="宋体"/>
          <w:szCs w:val="21"/>
        </w:rPr>
        <w:t>设备到货应随机提供出厂验收报告。</w:t>
      </w:r>
    </w:p>
    <w:p>
      <w:pPr>
        <w:adjustRightInd w:val="0"/>
        <w:snapToGrid w:val="0"/>
        <w:spacing w:before="156" w:beforeLines="50" w:line="360" w:lineRule="auto"/>
        <w:ind w:left="283" w:hanging="283" w:hangingChars="135"/>
        <w:rPr>
          <w:rFonts w:ascii="宋体"/>
          <w:szCs w:val="21"/>
        </w:rPr>
      </w:pPr>
      <w:r>
        <w:rPr>
          <w:rFonts w:ascii="宋体" w:hAnsi="宋体"/>
          <w:szCs w:val="21"/>
        </w:rPr>
        <w:t>3</w:t>
      </w:r>
      <w:r>
        <w:rPr>
          <w:rFonts w:hint="eastAsia" w:ascii="宋体" w:hAnsi="宋体"/>
          <w:szCs w:val="21"/>
        </w:rPr>
        <w:t>．在设备经过试运转、性能调试、试运行之后，双方对设备性能进行鉴定，符合合同要求，招标人出据验收证明并由中标人确认。验收标准为合同规定的要求和相关标准、中国国家标准、规范以及国际标准和双方认可的标准。</w:t>
      </w:r>
    </w:p>
    <w:p>
      <w:pPr>
        <w:adjustRightInd w:val="0"/>
        <w:snapToGrid w:val="0"/>
        <w:spacing w:line="360" w:lineRule="auto"/>
        <w:ind w:left="420" w:hanging="420" w:hangingChars="200"/>
        <w:rPr>
          <w:rFonts w:ascii="宋体"/>
          <w:szCs w:val="21"/>
        </w:rPr>
      </w:pPr>
      <w:r>
        <w:rPr>
          <w:rFonts w:ascii="宋体" w:hAnsi="宋体"/>
          <w:szCs w:val="21"/>
        </w:rPr>
        <w:t>4</w:t>
      </w:r>
      <w:r>
        <w:rPr>
          <w:rFonts w:hint="eastAsia" w:ascii="宋体" w:hAnsi="宋体"/>
          <w:szCs w:val="21"/>
        </w:rPr>
        <w:t>．包装：必须按照双方约定的包装要求包装，如无约定的要按照中国国家标准、规范以及国际标准和双方认可的标准进行包装。</w:t>
      </w:r>
      <w:bookmarkStart w:id="10" w:name="_Toc357086147"/>
    </w:p>
    <w:p>
      <w:pPr>
        <w:adjustRightInd w:val="0"/>
        <w:snapToGrid w:val="0"/>
        <w:spacing w:line="360" w:lineRule="auto"/>
        <w:ind w:left="420" w:hanging="420" w:hangingChars="200"/>
        <w:rPr>
          <w:rFonts w:ascii="宋体"/>
          <w:szCs w:val="21"/>
        </w:rPr>
      </w:pPr>
    </w:p>
    <w:p>
      <w:pPr>
        <w:adjustRightInd w:val="0"/>
        <w:snapToGrid w:val="0"/>
        <w:spacing w:line="360" w:lineRule="auto"/>
        <w:ind w:left="420" w:hanging="420" w:hangingChars="200"/>
        <w:rPr>
          <w:rFonts w:ascii="宋体"/>
          <w:szCs w:val="21"/>
        </w:rPr>
      </w:pPr>
    </w:p>
    <w:p>
      <w:pPr>
        <w:adjustRightInd w:val="0"/>
        <w:snapToGrid w:val="0"/>
        <w:spacing w:line="360" w:lineRule="auto"/>
        <w:ind w:left="420" w:hanging="420" w:hangingChars="200"/>
        <w:rPr>
          <w:rFonts w:ascii="宋体"/>
          <w:szCs w:val="21"/>
        </w:rPr>
      </w:pPr>
    </w:p>
    <w:p>
      <w:pPr>
        <w:adjustRightInd w:val="0"/>
        <w:snapToGrid w:val="0"/>
        <w:spacing w:line="360" w:lineRule="auto"/>
        <w:ind w:left="420" w:hanging="420" w:hangingChars="200"/>
        <w:rPr>
          <w:rFonts w:ascii="宋体"/>
          <w:szCs w:val="21"/>
        </w:rPr>
      </w:pPr>
    </w:p>
    <w:p>
      <w:pPr>
        <w:adjustRightInd w:val="0"/>
        <w:snapToGrid w:val="0"/>
        <w:spacing w:line="360" w:lineRule="auto"/>
        <w:ind w:left="420" w:hanging="420" w:hangingChars="200"/>
        <w:rPr>
          <w:rFonts w:ascii="宋体"/>
          <w:szCs w:val="21"/>
        </w:rPr>
      </w:pPr>
    </w:p>
    <w:p>
      <w:pPr>
        <w:adjustRightInd w:val="0"/>
        <w:snapToGrid w:val="0"/>
        <w:spacing w:line="360" w:lineRule="auto"/>
        <w:ind w:left="420" w:hanging="420" w:hangingChars="200"/>
        <w:rPr>
          <w:rFonts w:ascii="宋体"/>
          <w:szCs w:val="21"/>
        </w:rPr>
      </w:pPr>
    </w:p>
    <w:p>
      <w:pPr>
        <w:adjustRightInd w:val="0"/>
        <w:snapToGrid w:val="0"/>
        <w:spacing w:line="360" w:lineRule="auto"/>
        <w:ind w:left="420" w:hanging="420" w:hangingChars="200"/>
        <w:rPr>
          <w:rFonts w:ascii="宋体"/>
          <w:szCs w:val="21"/>
        </w:rPr>
      </w:pPr>
    </w:p>
    <w:p>
      <w:pPr>
        <w:adjustRightInd w:val="0"/>
        <w:snapToGrid w:val="0"/>
        <w:spacing w:line="360" w:lineRule="auto"/>
        <w:ind w:left="420" w:hanging="420" w:hangingChars="200"/>
        <w:rPr>
          <w:rFonts w:ascii="宋体"/>
          <w:szCs w:val="21"/>
        </w:rPr>
      </w:pPr>
    </w:p>
    <w:p>
      <w:pPr>
        <w:adjustRightInd w:val="0"/>
        <w:snapToGrid w:val="0"/>
        <w:spacing w:line="360" w:lineRule="auto"/>
        <w:ind w:left="420" w:hanging="420" w:hangingChars="200"/>
        <w:rPr>
          <w:rFonts w:ascii="宋体"/>
          <w:szCs w:val="21"/>
        </w:rPr>
      </w:pPr>
    </w:p>
    <w:p>
      <w:pPr>
        <w:adjustRightInd w:val="0"/>
        <w:snapToGrid w:val="0"/>
        <w:spacing w:line="360" w:lineRule="auto"/>
        <w:ind w:left="420" w:hanging="420" w:hangingChars="200"/>
        <w:rPr>
          <w:rFonts w:ascii="宋体"/>
          <w:szCs w:val="21"/>
        </w:rPr>
      </w:pPr>
    </w:p>
    <w:p>
      <w:pPr>
        <w:adjustRightInd w:val="0"/>
        <w:snapToGrid w:val="0"/>
        <w:spacing w:line="360" w:lineRule="auto"/>
        <w:ind w:left="420" w:hanging="420" w:hangingChars="200"/>
        <w:rPr>
          <w:rFonts w:ascii="宋体"/>
          <w:szCs w:val="21"/>
        </w:rPr>
      </w:pPr>
    </w:p>
    <w:p>
      <w:pPr>
        <w:adjustRightInd w:val="0"/>
        <w:snapToGrid w:val="0"/>
        <w:spacing w:line="360" w:lineRule="auto"/>
        <w:ind w:left="420" w:hanging="420" w:hangingChars="200"/>
        <w:rPr>
          <w:rFonts w:ascii="宋体"/>
          <w:szCs w:val="21"/>
        </w:rPr>
      </w:pPr>
    </w:p>
    <w:p>
      <w:pPr>
        <w:adjustRightInd w:val="0"/>
        <w:snapToGrid w:val="0"/>
        <w:spacing w:line="360" w:lineRule="auto"/>
        <w:ind w:left="420" w:hanging="420" w:hangingChars="200"/>
        <w:rPr>
          <w:rFonts w:ascii="宋体"/>
          <w:szCs w:val="21"/>
        </w:rPr>
      </w:pPr>
    </w:p>
    <w:p>
      <w:pPr>
        <w:adjustRightInd w:val="0"/>
        <w:snapToGrid w:val="0"/>
        <w:spacing w:line="360" w:lineRule="auto"/>
        <w:ind w:left="420" w:hanging="420" w:hangingChars="200"/>
        <w:rPr>
          <w:rFonts w:ascii="宋体"/>
          <w:szCs w:val="21"/>
        </w:rPr>
      </w:pPr>
    </w:p>
    <w:p>
      <w:pPr>
        <w:adjustRightInd w:val="0"/>
        <w:snapToGrid w:val="0"/>
        <w:spacing w:line="360" w:lineRule="auto"/>
        <w:ind w:left="420" w:hanging="420" w:hangingChars="200"/>
        <w:rPr>
          <w:rFonts w:ascii="宋体"/>
          <w:szCs w:val="21"/>
        </w:rPr>
      </w:pPr>
    </w:p>
    <w:p>
      <w:pPr>
        <w:pStyle w:val="19"/>
        <w:jc w:val="center"/>
        <w:rPr>
          <w:rFonts w:ascii="黑体" w:cs="Times New Roman"/>
          <w:b/>
          <w:bCs/>
          <w:sz w:val="32"/>
          <w:szCs w:val="24"/>
        </w:rPr>
      </w:pPr>
      <w:r>
        <w:rPr>
          <w:rFonts w:hint="eastAsia" w:ascii="黑体" w:hAnsi="黑体" w:cs="Times New Roman"/>
          <w:b/>
          <w:bCs/>
          <w:sz w:val="32"/>
          <w:szCs w:val="24"/>
        </w:rPr>
        <w:t>第六节质量保证</w:t>
      </w:r>
      <w:bookmarkEnd w:id="10"/>
    </w:p>
    <w:p>
      <w:pPr>
        <w:adjustRightInd w:val="0"/>
        <w:snapToGrid w:val="0"/>
        <w:spacing w:line="360" w:lineRule="auto"/>
        <w:jc w:val="center"/>
        <w:rPr>
          <w:rFonts w:ascii="宋体"/>
          <w:szCs w:val="21"/>
        </w:rPr>
      </w:pPr>
    </w:p>
    <w:p>
      <w:pPr>
        <w:adjustRightInd w:val="0"/>
        <w:snapToGrid w:val="0"/>
        <w:spacing w:before="156" w:beforeLines="50" w:line="360" w:lineRule="auto"/>
        <w:ind w:left="283" w:hanging="283" w:hangingChars="135"/>
        <w:rPr>
          <w:rFonts w:ascii="宋体"/>
          <w:szCs w:val="21"/>
        </w:rPr>
      </w:pPr>
      <w:r>
        <w:rPr>
          <w:rFonts w:ascii="宋体" w:hAnsi="宋体"/>
          <w:szCs w:val="21"/>
        </w:rPr>
        <w:t xml:space="preserve">1. </w:t>
      </w:r>
      <w:r>
        <w:rPr>
          <w:rFonts w:hint="eastAsia" w:ascii="宋体" w:hAnsi="宋体"/>
          <w:szCs w:val="21"/>
        </w:rPr>
        <w:t>质保期应为最终验收合格后</w:t>
      </w:r>
      <w:r>
        <w:rPr>
          <w:rFonts w:ascii="宋体" w:hAnsi="宋体"/>
          <w:szCs w:val="21"/>
        </w:rPr>
        <w:t>12</w:t>
      </w:r>
      <w:r>
        <w:rPr>
          <w:rFonts w:hint="eastAsia" w:ascii="宋体" w:hAnsi="宋体"/>
          <w:szCs w:val="21"/>
        </w:rPr>
        <w:t>个月。对由于设计或质量问题而引起的设备故障，中标方应进一步对此负责。专用合同条款对质保有特殊规定的从其规定。</w:t>
      </w:r>
    </w:p>
    <w:p>
      <w:pPr>
        <w:adjustRightInd w:val="0"/>
        <w:snapToGrid w:val="0"/>
        <w:spacing w:before="156" w:beforeLines="50" w:line="360" w:lineRule="auto"/>
        <w:ind w:left="283" w:hanging="283" w:hangingChars="135"/>
        <w:rPr>
          <w:rFonts w:ascii="宋体"/>
          <w:szCs w:val="21"/>
        </w:rPr>
      </w:pPr>
      <w:r>
        <w:rPr>
          <w:rFonts w:ascii="宋体" w:hAnsi="宋体"/>
          <w:szCs w:val="21"/>
        </w:rPr>
        <w:t xml:space="preserve">2. </w:t>
      </w:r>
      <w:r>
        <w:rPr>
          <w:rFonts w:hint="eastAsia" w:ascii="宋体" w:hAnsi="宋体"/>
          <w:szCs w:val="21"/>
        </w:rPr>
        <w:t>中标方应有质保期内的维修服务承诺，无偿更换零配件、部件承诺。</w:t>
      </w:r>
    </w:p>
    <w:p>
      <w:pPr>
        <w:adjustRightInd w:val="0"/>
        <w:snapToGrid w:val="0"/>
        <w:spacing w:before="156" w:beforeLines="50" w:line="360" w:lineRule="auto"/>
        <w:ind w:left="283" w:hanging="283" w:hangingChars="135"/>
        <w:rPr>
          <w:rFonts w:ascii="宋体"/>
          <w:szCs w:val="21"/>
        </w:rPr>
      </w:pPr>
      <w:r>
        <w:rPr>
          <w:rFonts w:ascii="宋体" w:hAnsi="宋体"/>
          <w:szCs w:val="21"/>
        </w:rPr>
        <w:t xml:space="preserve">3. </w:t>
      </w:r>
      <w:r>
        <w:rPr>
          <w:rFonts w:hint="eastAsia" w:ascii="宋体" w:hAnsi="宋体"/>
          <w:szCs w:val="21"/>
        </w:rPr>
        <w:t>中标方应有对设备大修周期、使用寿命及各主要部件的寿命承诺。</w:t>
      </w:r>
    </w:p>
    <w:p>
      <w:pPr>
        <w:pStyle w:val="32"/>
        <w:adjustRightInd w:val="0"/>
        <w:snapToGrid w:val="0"/>
        <w:spacing w:line="360" w:lineRule="auto"/>
        <w:ind w:left="426" w:leftChars="202" w:hanging="2" w:firstLineChars="0"/>
        <w:rPr>
          <w:rFonts w:ascii="宋体"/>
          <w:szCs w:val="21"/>
        </w:rPr>
      </w:pPr>
    </w:p>
    <w:p>
      <w:pPr>
        <w:adjustRightInd w:val="0"/>
        <w:snapToGrid w:val="0"/>
        <w:spacing w:line="360" w:lineRule="auto"/>
        <w:rPr>
          <w:rFonts w:ascii="宋体"/>
          <w:szCs w:val="21"/>
        </w:rPr>
      </w:pPr>
    </w:p>
    <w:p>
      <w:pPr>
        <w:pStyle w:val="19"/>
        <w:jc w:val="center"/>
      </w:pPr>
      <w:r>
        <w:rPr>
          <w:rFonts w:ascii="宋体" w:eastAsia="宋体"/>
          <w:szCs w:val="21"/>
        </w:rPr>
        <w:br w:type="page"/>
      </w:r>
      <w:bookmarkStart w:id="11" w:name="_Toc357086148"/>
      <w:r>
        <w:rPr>
          <w:rFonts w:hint="eastAsia" w:ascii="黑体" w:hAnsi="黑体" w:cs="Times New Roman"/>
          <w:b/>
          <w:bCs/>
          <w:sz w:val="32"/>
          <w:szCs w:val="24"/>
        </w:rPr>
        <w:t>第七节技术资料和图纸</w:t>
      </w:r>
      <w:bookmarkEnd w:id="11"/>
    </w:p>
    <w:p>
      <w:pPr>
        <w:adjustRightInd w:val="0"/>
        <w:snapToGrid w:val="0"/>
        <w:spacing w:before="156" w:beforeLines="50" w:line="360" w:lineRule="auto"/>
        <w:ind w:left="283" w:hanging="283" w:hangingChars="135"/>
        <w:rPr>
          <w:rFonts w:ascii="宋体"/>
          <w:szCs w:val="21"/>
        </w:rPr>
      </w:pPr>
    </w:p>
    <w:p>
      <w:pPr>
        <w:adjustRightInd w:val="0"/>
        <w:snapToGrid w:val="0"/>
        <w:spacing w:before="156" w:beforeLines="50" w:line="360" w:lineRule="auto"/>
        <w:ind w:left="283" w:hanging="283" w:hangingChars="135"/>
        <w:rPr>
          <w:rFonts w:ascii="宋体"/>
          <w:szCs w:val="21"/>
        </w:rPr>
      </w:pPr>
      <w:r>
        <w:rPr>
          <w:rFonts w:ascii="宋体" w:hAnsi="宋体"/>
          <w:szCs w:val="21"/>
        </w:rPr>
        <w:t xml:space="preserve">1. </w:t>
      </w:r>
      <w:r>
        <w:rPr>
          <w:rFonts w:hint="eastAsia" w:ascii="宋体" w:hAnsi="宋体"/>
          <w:szCs w:val="21"/>
        </w:rPr>
        <w:t>中标人按规定给招标人提供全面的、详细的技术资料，包括印刷版和电子版的各种图纸、设备使用手册、维修手册、备件手册、配件报价</w:t>
      </w:r>
      <w:r>
        <w:rPr>
          <w:rFonts w:ascii="宋体" w:hAnsi="宋体"/>
          <w:szCs w:val="21"/>
        </w:rPr>
        <w:t>CD</w:t>
      </w:r>
      <w:r>
        <w:rPr>
          <w:rFonts w:hint="eastAsia" w:ascii="宋体" w:hAnsi="宋体"/>
          <w:szCs w:val="21"/>
        </w:rPr>
        <w:t>光盘，随设备发货或日后提供的目录、图纸、图解说明或电路图必须是清晰易解的。操作手册和维修指南须通俗易懂。备件手册必须将每一部件细化到所有零件，所有零部件必须有统一的采购号或件号等唯一标识号，以便于招标人维护和采购备件。所有外协件的件号必须提供制造商原始件号。所有提供的技术资料手册封面应标明合同号、设备系列号。</w:t>
      </w:r>
    </w:p>
    <w:p>
      <w:pPr>
        <w:adjustRightInd w:val="0"/>
        <w:snapToGrid w:val="0"/>
        <w:spacing w:before="156" w:beforeLines="50" w:line="360" w:lineRule="auto"/>
        <w:ind w:left="283" w:hanging="283" w:hangingChars="135"/>
        <w:rPr>
          <w:rFonts w:ascii="宋体"/>
          <w:szCs w:val="21"/>
        </w:rPr>
      </w:pPr>
      <w:r>
        <w:rPr>
          <w:rFonts w:ascii="宋体" w:hAnsi="宋体"/>
          <w:szCs w:val="21"/>
        </w:rPr>
        <w:t xml:space="preserve">2. </w:t>
      </w:r>
      <w:r>
        <w:rPr>
          <w:rFonts w:hint="eastAsia" w:ascii="宋体" w:hAnsi="宋体"/>
          <w:szCs w:val="21"/>
        </w:rPr>
        <w:t>中标人按规定给招标人每台（套）设备提供份技术文件和图纸的副本。其中两份副本包括</w:t>
      </w:r>
      <w:r>
        <w:rPr>
          <w:rFonts w:ascii="宋体" w:hAnsi="宋体"/>
          <w:szCs w:val="21"/>
        </w:rPr>
        <w:t>1</w:t>
      </w:r>
      <w:r>
        <w:rPr>
          <w:rFonts w:hint="eastAsia" w:ascii="宋体" w:hAnsi="宋体"/>
          <w:szCs w:val="21"/>
        </w:rPr>
        <w:t>份光盘文件将在设备发货前的</w:t>
      </w:r>
      <w:r>
        <w:rPr>
          <w:rFonts w:ascii="宋体" w:hAnsi="宋体"/>
          <w:szCs w:val="21"/>
        </w:rPr>
        <w:t>14</w:t>
      </w:r>
      <w:r>
        <w:rPr>
          <w:rFonts w:hint="eastAsia" w:ascii="宋体" w:hAnsi="宋体"/>
          <w:szCs w:val="21"/>
        </w:rPr>
        <w:t>天，以特快专递方式寄送给招标人，其他所要求的成套技术文件和图纸将随合同中设备一起发货，招标人有权针对培训目的而额外复制所提供的技术文件与图纸。</w:t>
      </w:r>
    </w:p>
    <w:p>
      <w:pPr>
        <w:adjustRightInd w:val="0"/>
        <w:snapToGrid w:val="0"/>
        <w:spacing w:before="156" w:beforeLines="50" w:line="360" w:lineRule="auto"/>
        <w:ind w:left="283" w:hanging="283" w:hangingChars="135"/>
        <w:rPr>
          <w:rFonts w:ascii="宋体"/>
          <w:szCs w:val="21"/>
        </w:rPr>
      </w:pPr>
      <w:r>
        <w:rPr>
          <w:rFonts w:ascii="宋体" w:hAnsi="宋体"/>
          <w:szCs w:val="21"/>
        </w:rPr>
        <w:t xml:space="preserve">3. </w:t>
      </w:r>
      <w:r>
        <w:rPr>
          <w:rFonts w:hint="eastAsia" w:ascii="宋体" w:hAnsi="宋体"/>
          <w:szCs w:val="21"/>
        </w:rPr>
        <w:t>如果中标人交付的技术文件和图纸不完整、丢失或损坏，中标人在接到招标人索要不完整、丢失或损坏部分的技术文件和图纸的通知后的</w:t>
      </w:r>
      <w:r>
        <w:rPr>
          <w:rFonts w:ascii="宋体" w:hAnsi="宋体"/>
          <w:szCs w:val="21"/>
        </w:rPr>
        <w:t>30</w:t>
      </w:r>
      <w:r>
        <w:rPr>
          <w:rFonts w:hint="eastAsia" w:ascii="宋体" w:hAnsi="宋体"/>
          <w:szCs w:val="21"/>
        </w:rPr>
        <w:t>天内</w:t>
      </w:r>
      <w:r>
        <w:rPr>
          <w:rFonts w:ascii="宋体"/>
          <w:szCs w:val="21"/>
        </w:rPr>
        <w:t>,</w:t>
      </w:r>
      <w:r>
        <w:rPr>
          <w:rFonts w:hint="eastAsia" w:ascii="宋体" w:hAnsi="宋体"/>
          <w:szCs w:val="21"/>
        </w:rPr>
        <w:t>应免费向招标人增补丢失或损坏部分的技术文件与图纸。</w:t>
      </w:r>
    </w:p>
    <w:p>
      <w:pPr>
        <w:adjustRightInd w:val="0"/>
        <w:snapToGrid w:val="0"/>
        <w:spacing w:before="156" w:beforeLines="50" w:line="360" w:lineRule="auto"/>
        <w:ind w:left="283" w:hanging="283" w:hangingChars="135"/>
        <w:rPr>
          <w:rFonts w:ascii="宋体"/>
          <w:szCs w:val="21"/>
        </w:rPr>
      </w:pPr>
      <w:r>
        <w:rPr>
          <w:rFonts w:ascii="宋体" w:hAnsi="宋体"/>
          <w:szCs w:val="21"/>
        </w:rPr>
        <w:t xml:space="preserve">4. </w:t>
      </w:r>
      <w:r>
        <w:rPr>
          <w:rFonts w:hint="eastAsia" w:ascii="宋体" w:hAnsi="宋体"/>
          <w:szCs w:val="21"/>
        </w:rPr>
        <w:t>中标人有义务对该设备的控制软件、管理软件进行免费升级换代。</w:t>
      </w:r>
    </w:p>
    <w:p>
      <w:pPr>
        <w:adjustRightInd w:val="0"/>
        <w:snapToGrid w:val="0"/>
        <w:spacing w:before="156" w:beforeLines="50" w:line="360" w:lineRule="auto"/>
        <w:ind w:left="283" w:hanging="283" w:hangingChars="135"/>
        <w:rPr>
          <w:rFonts w:ascii="宋体"/>
          <w:szCs w:val="21"/>
        </w:rPr>
      </w:pPr>
      <w:r>
        <w:rPr>
          <w:rFonts w:ascii="宋体" w:hAnsi="宋体"/>
          <w:szCs w:val="21"/>
        </w:rPr>
        <w:t xml:space="preserve">5. </w:t>
      </w:r>
      <w:r>
        <w:rPr>
          <w:rFonts w:hint="eastAsia" w:ascii="宋体" w:hAnsi="宋体"/>
          <w:szCs w:val="21"/>
        </w:rPr>
        <w:t>中标人定期对设备进行回访，并对用户提出的问题进行解决。</w:t>
      </w:r>
    </w:p>
    <w:p>
      <w:pPr>
        <w:adjustRightInd w:val="0"/>
        <w:snapToGrid w:val="0"/>
        <w:spacing w:before="156" w:beforeLines="50" w:line="360" w:lineRule="auto"/>
        <w:ind w:left="283" w:hanging="283" w:hangingChars="135"/>
        <w:rPr>
          <w:rFonts w:ascii="宋体"/>
          <w:szCs w:val="21"/>
        </w:rPr>
      </w:pPr>
      <w:r>
        <w:rPr>
          <w:rFonts w:ascii="宋体" w:hAnsi="宋体"/>
          <w:szCs w:val="21"/>
        </w:rPr>
        <w:t xml:space="preserve">6. </w:t>
      </w:r>
      <w:r>
        <w:rPr>
          <w:rFonts w:hint="eastAsia" w:ascii="宋体" w:hAnsi="宋体"/>
          <w:szCs w:val="21"/>
        </w:rPr>
        <w:t>中标人要提供下列相关的技术资料及图纸：</w:t>
      </w:r>
    </w:p>
    <w:p>
      <w:pPr>
        <w:adjustRightInd w:val="0"/>
        <w:snapToGrid w:val="0"/>
        <w:spacing w:before="156" w:beforeLines="50" w:line="360" w:lineRule="auto"/>
        <w:ind w:left="281" w:leftChars="134" w:firstLine="424" w:firstLineChars="202"/>
        <w:rPr>
          <w:rFonts w:ascii="宋体"/>
          <w:szCs w:val="21"/>
        </w:rPr>
      </w:pPr>
      <w:r>
        <w:rPr>
          <w:rFonts w:hint="eastAsia" w:ascii="宋体" w:hAnsi="宋体"/>
          <w:szCs w:val="21"/>
        </w:rPr>
        <w:t>总图及安装基础图</w:t>
      </w:r>
    </w:p>
    <w:p>
      <w:pPr>
        <w:adjustRightInd w:val="0"/>
        <w:snapToGrid w:val="0"/>
        <w:spacing w:before="156" w:beforeLines="50" w:line="360" w:lineRule="auto"/>
        <w:ind w:left="281" w:leftChars="134" w:firstLine="424" w:firstLineChars="202"/>
        <w:rPr>
          <w:rFonts w:ascii="宋体"/>
          <w:szCs w:val="21"/>
        </w:rPr>
      </w:pPr>
      <w:r>
        <w:rPr>
          <w:rFonts w:hint="eastAsia" w:ascii="宋体" w:hAnsi="宋体"/>
          <w:szCs w:val="21"/>
        </w:rPr>
        <w:t>制造标准、防爆标准</w:t>
      </w:r>
    </w:p>
    <w:p>
      <w:pPr>
        <w:adjustRightInd w:val="0"/>
        <w:snapToGrid w:val="0"/>
        <w:spacing w:before="156" w:beforeLines="50" w:line="360" w:lineRule="auto"/>
        <w:ind w:left="281" w:leftChars="134" w:firstLine="424" w:firstLineChars="202"/>
        <w:rPr>
          <w:rFonts w:ascii="宋体"/>
          <w:szCs w:val="21"/>
        </w:rPr>
      </w:pPr>
      <w:r>
        <w:rPr>
          <w:rFonts w:hint="eastAsia" w:ascii="宋体" w:hAnsi="宋体"/>
          <w:szCs w:val="21"/>
        </w:rPr>
        <w:t>完整的技术特征及说明书</w:t>
      </w:r>
    </w:p>
    <w:p>
      <w:pPr>
        <w:adjustRightInd w:val="0"/>
        <w:snapToGrid w:val="0"/>
        <w:spacing w:before="156" w:beforeLines="50" w:line="360" w:lineRule="auto"/>
        <w:ind w:left="281" w:leftChars="134" w:firstLine="424" w:firstLineChars="202"/>
        <w:rPr>
          <w:rFonts w:ascii="宋体"/>
          <w:szCs w:val="21"/>
        </w:rPr>
      </w:pPr>
      <w:r>
        <w:rPr>
          <w:rFonts w:hint="eastAsia" w:ascii="宋体" w:hAnsi="宋体"/>
          <w:szCs w:val="21"/>
        </w:rPr>
        <w:t>全部机电图纸、材料清册、所有设备、元件、部件型号、规格、特性曲线、产品检验合格证及出厂日期。</w:t>
      </w:r>
    </w:p>
    <w:p>
      <w:pPr>
        <w:adjustRightInd w:val="0"/>
        <w:snapToGrid w:val="0"/>
        <w:spacing w:before="156" w:beforeLines="50" w:line="360" w:lineRule="auto"/>
        <w:ind w:left="283" w:hanging="283" w:hangingChars="135"/>
        <w:rPr>
          <w:rFonts w:ascii="宋体"/>
          <w:szCs w:val="21"/>
        </w:rPr>
      </w:pPr>
      <w:r>
        <w:rPr>
          <w:rFonts w:ascii="宋体" w:hAnsi="宋体"/>
          <w:szCs w:val="21"/>
        </w:rPr>
        <w:t xml:space="preserve">7. </w:t>
      </w:r>
      <w:r>
        <w:rPr>
          <w:rFonts w:hint="eastAsia" w:ascii="宋体" w:hAnsi="宋体"/>
          <w:szCs w:val="21"/>
        </w:rPr>
        <w:t>技术资料与设备同属合同供货范围，如不能按照上述条款交货，将按照推迟合同交货期执行。</w:t>
      </w:r>
    </w:p>
    <w:p/>
    <w:bookmarkEnd w:id="0"/>
    <w:bookmarkEnd w:id="1"/>
    <w:p>
      <w:pPr>
        <w:pStyle w:val="22"/>
        <w:tabs>
          <w:tab w:val="left" w:pos="1290"/>
          <w:tab w:val="left" w:pos="1680"/>
        </w:tabs>
        <w:adjustRightInd w:val="0"/>
        <w:snapToGrid w:val="0"/>
        <w:spacing w:before="120" w:after="0" w:line="360" w:lineRule="auto"/>
        <w:rPr>
          <w:rFonts w:ascii="黑体" w:hAnsi="黑体" w:eastAsia="黑体"/>
          <w:b/>
          <w:bCs/>
          <w:sz w:val="32"/>
        </w:rPr>
      </w:pP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swiss"/>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Palatino Linotype">
    <w:panose1 w:val="02040502050505030304"/>
    <w:charset w:val="00"/>
    <w:family w:val="auto"/>
    <w:pitch w:val="default"/>
    <w:sig w:usb0="E0000287" w:usb1="40000013" w:usb2="00000000" w:usb3="00000000" w:csb0="2000019F" w:csb1="00000000"/>
  </w:font>
  <w:font w:name="Lucida Sans Unicode">
    <w:panose1 w:val="020B0602030504020204"/>
    <w:charset w:val="00"/>
    <w:family w:val="auto"/>
    <w:pitch w:val="default"/>
    <w:sig w:usb0="80001AFF" w:usb1="0000396B" w:usb2="00000000" w:usb3="00000000" w:csb0="200000BF" w:csb1="D7F70000"/>
  </w:font>
  <w:font w:name="Courier New">
    <w:panose1 w:val="02070309020205020404"/>
    <w:charset w:val="00"/>
    <w:family w:val="modern"/>
    <w:pitch w:val="default"/>
    <w:sig w:usb0="E0002EFF" w:usb1="C0007843" w:usb2="00000009" w:usb3="00000000" w:csb0="400001FF" w:csb1="FFFF0000"/>
  </w:font>
  <w:font w:name="方正大标宋简体">
    <w:altName w:val="宋体"/>
    <w:panose1 w:val="00000000000000000000"/>
    <w:charset w:val="86"/>
    <w:family w:val="script"/>
    <w:pitch w:val="default"/>
    <w:sig w:usb0="00000000" w:usb1="00000000" w:usb2="00000010" w:usb3="00000000" w:csb0="00040001" w:csb1="00000000"/>
  </w:font>
  <w:font w:name="Wingdings-Regular">
    <w:altName w:val="Times New Roman"/>
    <w:panose1 w:val="00000000000000000000"/>
    <w:charset w:val="00"/>
    <w:family w:val="auto"/>
    <w:pitch w:val="default"/>
    <w:sig w:usb0="00000000" w:usb1="00000000" w:usb2="00000010" w:usb3="00000000" w:csb0="00040001" w:csb1="00000000"/>
  </w:font>
  <w:font w:name="微软雅黑">
    <w:panose1 w:val="020B0503020204020204"/>
    <w:charset w:val="86"/>
    <w:family w:val="auto"/>
    <w:pitch w:val="default"/>
    <w:sig w:usb0="80000287" w:usb1="28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ArialMT">
    <w:altName w:val="Arial"/>
    <w:panose1 w:val="00000000000000000000"/>
    <w:charset w:val="00"/>
    <w:family w:val="swiss"/>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PMingLiU">
    <w:altName w:val="PMingLiU-ExtB"/>
    <w:panose1 w:val="02020500000000000000"/>
    <w:charset w:val="88"/>
    <w:family w:val="auto"/>
    <w:pitch w:val="default"/>
    <w:sig w:usb0="00000000" w:usb1="00000000" w:usb2="00000016" w:usb3="00000000" w:csb0="00100001" w:csb1="00000000"/>
  </w:font>
  <w:font w:name="Yu Gothic UI">
    <w:panose1 w:val="020B0500000000000000"/>
    <w:charset w:val="80"/>
    <w:family w:val="auto"/>
    <w:pitch w:val="default"/>
    <w:sig w:usb0="E00002FF" w:usb1="2AC7FDFF" w:usb2="00000016" w:usb3="00000000" w:csb0="2002009F" w:csb1="00000000"/>
  </w:font>
  <w:font w:name="PMingLiU-ExtB">
    <w:panose1 w:val="02020500000000000000"/>
    <w:charset w:val="88"/>
    <w:family w:val="auto"/>
    <w:pitch w:val="default"/>
    <w:sig w:usb0="8000002F" w:usb1="02000008" w:usb2="00000000" w:usb3="00000000" w:csb0="001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4AED"/>
    <w:rsid w:val="000046BE"/>
    <w:rsid w:val="0000542B"/>
    <w:rsid w:val="000058A6"/>
    <w:rsid w:val="000066F4"/>
    <w:rsid w:val="00012010"/>
    <w:rsid w:val="00014EB4"/>
    <w:rsid w:val="00015381"/>
    <w:rsid w:val="00030ADD"/>
    <w:rsid w:val="00032041"/>
    <w:rsid w:val="00033DDD"/>
    <w:rsid w:val="00034491"/>
    <w:rsid w:val="000349FF"/>
    <w:rsid w:val="00037982"/>
    <w:rsid w:val="000402A3"/>
    <w:rsid w:val="0004094A"/>
    <w:rsid w:val="00040FAA"/>
    <w:rsid w:val="00042ABC"/>
    <w:rsid w:val="00042E62"/>
    <w:rsid w:val="0004347C"/>
    <w:rsid w:val="00046393"/>
    <w:rsid w:val="000463EF"/>
    <w:rsid w:val="000500C1"/>
    <w:rsid w:val="00051401"/>
    <w:rsid w:val="00052D89"/>
    <w:rsid w:val="00055FB4"/>
    <w:rsid w:val="0005750A"/>
    <w:rsid w:val="000607C5"/>
    <w:rsid w:val="00062A06"/>
    <w:rsid w:val="000631B0"/>
    <w:rsid w:val="00065355"/>
    <w:rsid w:val="00065767"/>
    <w:rsid w:val="00066A10"/>
    <w:rsid w:val="00070E37"/>
    <w:rsid w:val="0007317A"/>
    <w:rsid w:val="00074BAA"/>
    <w:rsid w:val="000758E8"/>
    <w:rsid w:val="0007635B"/>
    <w:rsid w:val="000766E2"/>
    <w:rsid w:val="00076DA0"/>
    <w:rsid w:val="0008777B"/>
    <w:rsid w:val="00091069"/>
    <w:rsid w:val="000914F4"/>
    <w:rsid w:val="00093C65"/>
    <w:rsid w:val="00095270"/>
    <w:rsid w:val="00096144"/>
    <w:rsid w:val="000A2490"/>
    <w:rsid w:val="000A364C"/>
    <w:rsid w:val="000A4AB1"/>
    <w:rsid w:val="000B2616"/>
    <w:rsid w:val="000B3CF7"/>
    <w:rsid w:val="000B4A8F"/>
    <w:rsid w:val="000C002E"/>
    <w:rsid w:val="000D058D"/>
    <w:rsid w:val="000D5B51"/>
    <w:rsid w:val="000E0560"/>
    <w:rsid w:val="000E1012"/>
    <w:rsid w:val="000E1B13"/>
    <w:rsid w:val="000E70F4"/>
    <w:rsid w:val="000F0755"/>
    <w:rsid w:val="000F7B2D"/>
    <w:rsid w:val="00101908"/>
    <w:rsid w:val="00106631"/>
    <w:rsid w:val="00106FCD"/>
    <w:rsid w:val="00112201"/>
    <w:rsid w:val="0012392E"/>
    <w:rsid w:val="00125194"/>
    <w:rsid w:val="0012731F"/>
    <w:rsid w:val="001407C1"/>
    <w:rsid w:val="00142DC8"/>
    <w:rsid w:val="00143543"/>
    <w:rsid w:val="001525CF"/>
    <w:rsid w:val="00152AAB"/>
    <w:rsid w:val="00155A24"/>
    <w:rsid w:val="001608A6"/>
    <w:rsid w:val="00162CD6"/>
    <w:rsid w:val="00164D52"/>
    <w:rsid w:val="0016527C"/>
    <w:rsid w:val="0017236C"/>
    <w:rsid w:val="00173B13"/>
    <w:rsid w:val="0017460A"/>
    <w:rsid w:val="00175505"/>
    <w:rsid w:val="001803C1"/>
    <w:rsid w:val="0018600E"/>
    <w:rsid w:val="00190CD5"/>
    <w:rsid w:val="0019506A"/>
    <w:rsid w:val="001A0B73"/>
    <w:rsid w:val="001A20B9"/>
    <w:rsid w:val="001B0049"/>
    <w:rsid w:val="001B3978"/>
    <w:rsid w:val="001B39A6"/>
    <w:rsid w:val="001C1277"/>
    <w:rsid w:val="001C1E12"/>
    <w:rsid w:val="001C2A35"/>
    <w:rsid w:val="001C3C55"/>
    <w:rsid w:val="001C6049"/>
    <w:rsid w:val="001C6716"/>
    <w:rsid w:val="001D185C"/>
    <w:rsid w:val="001D7588"/>
    <w:rsid w:val="001E1150"/>
    <w:rsid w:val="001F61A4"/>
    <w:rsid w:val="0020094D"/>
    <w:rsid w:val="00205A97"/>
    <w:rsid w:val="0020622F"/>
    <w:rsid w:val="00207DB2"/>
    <w:rsid w:val="00213B0F"/>
    <w:rsid w:val="002220A1"/>
    <w:rsid w:val="002230AA"/>
    <w:rsid w:val="002261B7"/>
    <w:rsid w:val="00227900"/>
    <w:rsid w:val="00230E12"/>
    <w:rsid w:val="00232BED"/>
    <w:rsid w:val="0023500D"/>
    <w:rsid w:val="002362CE"/>
    <w:rsid w:val="00241D77"/>
    <w:rsid w:val="00243118"/>
    <w:rsid w:val="0024361C"/>
    <w:rsid w:val="00247066"/>
    <w:rsid w:val="002477D5"/>
    <w:rsid w:val="00254199"/>
    <w:rsid w:val="002633A5"/>
    <w:rsid w:val="00266D81"/>
    <w:rsid w:val="002737E2"/>
    <w:rsid w:val="00274047"/>
    <w:rsid w:val="002779AC"/>
    <w:rsid w:val="00284E5B"/>
    <w:rsid w:val="002867B9"/>
    <w:rsid w:val="002902C1"/>
    <w:rsid w:val="00291884"/>
    <w:rsid w:val="00292AF0"/>
    <w:rsid w:val="00292D0F"/>
    <w:rsid w:val="00293620"/>
    <w:rsid w:val="002972E3"/>
    <w:rsid w:val="002A0807"/>
    <w:rsid w:val="002A1659"/>
    <w:rsid w:val="002A354E"/>
    <w:rsid w:val="002B5181"/>
    <w:rsid w:val="002C2B1B"/>
    <w:rsid w:val="002D5BFD"/>
    <w:rsid w:val="002E147B"/>
    <w:rsid w:val="002E17F4"/>
    <w:rsid w:val="002E20CD"/>
    <w:rsid w:val="002E3272"/>
    <w:rsid w:val="002E4385"/>
    <w:rsid w:val="002E67A4"/>
    <w:rsid w:val="002E694D"/>
    <w:rsid w:val="002E7472"/>
    <w:rsid w:val="002F09B1"/>
    <w:rsid w:val="002F2EF3"/>
    <w:rsid w:val="0030306D"/>
    <w:rsid w:val="00304854"/>
    <w:rsid w:val="003133E1"/>
    <w:rsid w:val="003143E2"/>
    <w:rsid w:val="00315A14"/>
    <w:rsid w:val="00322BB9"/>
    <w:rsid w:val="00324547"/>
    <w:rsid w:val="00324AED"/>
    <w:rsid w:val="00324BE9"/>
    <w:rsid w:val="003317CD"/>
    <w:rsid w:val="00334ABB"/>
    <w:rsid w:val="003370AA"/>
    <w:rsid w:val="003417A1"/>
    <w:rsid w:val="00343D04"/>
    <w:rsid w:val="003449BC"/>
    <w:rsid w:val="00346B30"/>
    <w:rsid w:val="003538D6"/>
    <w:rsid w:val="00353AF2"/>
    <w:rsid w:val="00353CCC"/>
    <w:rsid w:val="00355943"/>
    <w:rsid w:val="00356432"/>
    <w:rsid w:val="0035692B"/>
    <w:rsid w:val="0035699D"/>
    <w:rsid w:val="0036001B"/>
    <w:rsid w:val="003614F4"/>
    <w:rsid w:val="00361B4B"/>
    <w:rsid w:val="00362555"/>
    <w:rsid w:val="00363D7C"/>
    <w:rsid w:val="003708D1"/>
    <w:rsid w:val="00375D0E"/>
    <w:rsid w:val="00383897"/>
    <w:rsid w:val="00386656"/>
    <w:rsid w:val="00386F4E"/>
    <w:rsid w:val="003A1149"/>
    <w:rsid w:val="003A21C6"/>
    <w:rsid w:val="003A43AD"/>
    <w:rsid w:val="003A5DDA"/>
    <w:rsid w:val="003B3C54"/>
    <w:rsid w:val="003B3F9D"/>
    <w:rsid w:val="003B5B5C"/>
    <w:rsid w:val="003D0832"/>
    <w:rsid w:val="003D621C"/>
    <w:rsid w:val="003E21F1"/>
    <w:rsid w:val="003E4876"/>
    <w:rsid w:val="003E4EB1"/>
    <w:rsid w:val="003E7E7F"/>
    <w:rsid w:val="003F38A7"/>
    <w:rsid w:val="003F4D93"/>
    <w:rsid w:val="003F4E77"/>
    <w:rsid w:val="003F617D"/>
    <w:rsid w:val="003F65FD"/>
    <w:rsid w:val="004013AD"/>
    <w:rsid w:val="004021E7"/>
    <w:rsid w:val="004047A1"/>
    <w:rsid w:val="00405B14"/>
    <w:rsid w:val="0041003C"/>
    <w:rsid w:val="0041249F"/>
    <w:rsid w:val="00413602"/>
    <w:rsid w:val="00415933"/>
    <w:rsid w:val="0041647F"/>
    <w:rsid w:val="004171CC"/>
    <w:rsid w:val="004209EE"/>
    <w:rsid w:val="00424C95"/>
    <w:rsid w:val="00425198"/>
    <w:rsid w:val="0043328E"/>
    <w:rsid w:val="00433399"/>
    <w:rsid w:val="004354E1"/>
    <w:rsid w:val="00445C80"/>
    <w:rsid w:val="00457DC7"/>
    <w:rsid w:val="00462545"/>
    <w:rsid w:val="0046284D"/>
    <w:rsid w:val="0047008B"/>
    <w:rsid w:val="00481D87"/>
    <w:rsid w:val="004842B2"/>
    <w:rsid w:val="00487761"/>
    <w:rsid w:val="00487E1B"/>
    <w:rsid w:val="00491AD2"/>
    <w:rsid w:val="004923D4"/>
    <w:rsid w:val="00492438"/>
    <w:rsid w:val="00494AFC"/>
    <w:rsid w:val="004954E0"/>
    <w:rsid w:val="00496CAF"/>
    <w:rsid w:val="004A16A6"/>
    <w:rsid w:val="004A1D7F"/>
    <w:rsid w:val="004A4312"/>
    <w:rsid w:val="004A43DC"/>
    <w:rsid w:val="004A5487"/>
    <w:rsid w:val="004B1BD3"/>
    <w:rsid w:val="004B30A0"/>
    <w:rsid w:val="004B598F"/>
    <w:rsid w:val="004C2301"/>
    <w:rsid w:val="004C2F44"/>
    <w:rsid w:val="004D051B"/>
    <w:rsid w:val="004D4587"/>
    <w:rsid w:val="004D774B"/>
    <w:rsid w:val="004E0346"/>
    <w:rsid w:val="004E3DBA"/>
    <w:rsid w:val="004E4241"/>
    <w:rsid w:val="004E5455"/>
    <w:rsid w:val="004E547F"/>
    <w:rsid w:val="004E5B57"/>
    <w:rsid w:val="004F2429"/>
    <w:rsid w:val="004F2673"/>
    <w:rsid w:val="004F3F2B"/>
    <w:rsid w:val="004F58F3"/>
    <w:rsid w:val="004F5D0C"/>
    <w:rsid w:val="00501850"/>
    <w:rsid w:val="00501FE5"/>
    <w:rsid w:val="0050242D"/>
    <w:rsid w:val="00502BE3"/>
    <w:rsid w:val="00505A9D"/>
    <w:rsid w:val="0050670E"/>
    <w:rsid w:val="005142A6"/>
    <w:rsid w:val="005210D7"/>
    <w:rsid w:val="005210E1"/>
    <w:rsid w:val="00522FE4"/>
    <w:rsid w:val="00524A09"/>
    <w:rsid w:val="005253F8"/>
    <w:rsid w:val="00531222"/>
    <w:rsid w:val="0053254B"/>
    <w:rsid w:val="00534DD9"/>
    <w:rsid w:val="005357F0"/>
    <w:rsid w:val="00536E6F"/>
    <w:rsid w:val="00540A6E"/>
    <w:rsid w:val="00543472"/>
    <w:rsid w:val="00544ECE"/>
    <w:rsid w:val="0054610D"/>
    <w:rsid w:val="00556FC3"/>
    <w:rsid w:val="00564646"/>
    <w:rsid w:val="0057184E"/>
    <w:rsid w:val="00572442"/>
    <w:rsid w:val="00580DB9"/>
    <w:rsid w:val="00581ABD"/>
    <w:rsid w:val="00581D44"/>
    <w:rsid w:val="005853D4"/>
    <w:rsid w:val="00595E43"/>
    <w:rsid w:val="00596F47"/>
    <w:rsid w:val="005A6A5C"/>
    <w:rsid w:val="005A6F42"/>
    <w:rsid w:val="005B215D"/>
    <w:rsid w:val="005B7C05"/>
    <w:rsid w:val="005C1073"/>
    <w:rsid w:val="005C1A18"/>
    <w:rsid w:val="005C2EC1"/>
    <w:rsid w:val="005C4E82"/>
    <w:rsid w:val="005C5F57"/>
    <w:rsid w:val="005C6061"/>
    <w:rsid w:val="005C6C1B"/>
    <w:rsid w:val="005D117A"/>
    <w:rsid w:val="005D2174"/>
    <w:rsid w:val="005D2E77"/>
    <w:rsid w:val="005D3B64"/>
    <w:rsid w:val="005D5CAD"/>
    <w:rsid w:val="005D64B4"/>
    <w:rsid w:val="005D76D3"/>
    <w:rsid w:val="005D7F0C"/>
    <w:rsid w:val="005E1806"/>
    <w:rsid w:val="005E2C8D"/>
    <w:rsid w:val="005F3B65"/>
    <w:rsid w:val="005F538D"/>
    <w:rsid w:val="005F6C66"/>
    <w:rsid w:val="005F7241"/>
    <w:rsid w:val="005F7841"/>
    <w:rsid w:val="00600DCA"/>
    <w:rsid w:val="00604881"/>
    <w:rsid w:val="00604F0E"/>
    <w:rsid w:val="00607104"/>
    <w:rsid w:val="00607817"/>
    <w:rsid w:val="006078BE"/>
    <w:rsid w:val="006118E4"/>
    <w:rsid w:val="00613FD6"/>
    <w:rsid w:val="0061643F"/>
    <w:rsid w:val="00616668"/>
    <w:rsid w:val="00625B2E"/>
    <w:rsid w:val="00630411"/>
    <w:rsid w:val="00632358"/>
    <w:rsid w:val="00642940"/>
    <w:rsid w:val="00644CBA"/>
    <w:rsid w:val="0064539F"/>
    <w:rsid w:val="0065011B"/>
    <w:rsid w:val="00651CA0"/>
    <w:rsid w:val="00652978"/>
    <w:rsid w:val="00653CCB"/>
    <w:rsid w:val="00656D00"/>
    <w:rsid w:val="00674355"/>
    <w:rsid w:val="00674855"/>
    <w:rsid w:val="0067688B"/>
    <w:rsid w:val="00681A90"/>
    <w:rsid w:val="00683D47"/>
    <w:rsid w:val="006852E8"/>
    <w:rsid w:val="0068763C"/>
    <w:rsid w:val="00695B06"/>
    <w:rsid w:val="006A13D0"/>
    <w:rsid w:val="006B3D97"/>
    <w:rsid w:val="006B6C5C"/>
    <w:rsid w:val="006B6D27"/>
    <w:rsid w:val="006B7E36"/>
    <w:rsid w:val="006C2B88"/>
    <w:rsid w:val="006C3017"/>
    <w:rsid w:val="006C3EB1"/>
    <w:rsid w:val="006C3ED5"/>
    <w:rsid w:val="006C6FBC"/>
    <w:rsid w:val="006C7102"/>
    <w:rsid w:val="006D365C"/>
    <w:rsid w:val="006D77CF"/>
    <w:rsid w:val="006E4F92"/>
    <w:rsid w:val="006E52DC"/>
    <w:rsid w:val="006E6D77"/>
    <w:rsid w:val="006E6E8C"/>
    <w:rsid w:val="006F1DDE"/>
    <w:rsid w:val="006F7261"/>
    <w:rsid w:val="0070441E"/>
    <w:rsid w:val="00704771"/>
    <w:rsid w:val="00704A3D"/>
    <w:rsid w:val="0071388D"/>
    <w:rsid w:val="00714324"/>
    <w:rsid w:val="007211BF"/>
    <w:rsid w:val="0072646E"/>
    <w:rsid w:val="00727324"/>
    <w:rsid w:val="0073246F"/>
    <w:rsid w:val="00734DF3"/>
    <w:rsid w:val="007356B7"/>
    <w:rsid w:val="00735CB1"/>
    <w:rsid w:val="007404F7"/>
    <w:rsid w:val="0074278F"/>
    <w:rsid w:val="007461DF"/>
    <w:rsid w:val="007469AB"/>
    <w:rsid w:val="00753313"/>
    <w:rsid w:val="00753483"/>
    <w:rsid w:val="00757A06"/>
    <w:rsid w:val="007618DF"/>
    <w:rsid w:val="00765898"/>
    <w:rsid w:val="00765FB3"/>
    <w:rsid w:val="00771128"/>
    <w:rsid w:val="00772AB1"/>
    <w:rsid w:val="00775F76"/>
    <w:rsid w:val="00782F74"/>
    <w:rsid w:val="00786A40"/>
    <w:rsid w:val="00786E22"/>
    <w:rsid w:val="00787CA9"/>
    <w:rsid w:val="00790A71"/>
    <w:rsid w:val="00793BE8"/>
    <w:rsid w:val="00794C4E"/>
    <w:rsid w:val="00796642"/>
    <w:rsid w:val="00796B6E"/>
    <w:rsid w:val="007A0867"/>
    <w:rsid w:val="007A37E8"/>
    <w:rsid w:val="007A42CC"/>
    <w:rsid w:val="007A5778"/>
    <w:rsid w:val="007A5D76"/>
    <w:rsid w:val="007B2C20"/>
    <w:rsid w:val="007C07B8"/>
    <w:rsid w:val="007C07D8"/>
    <w:rsid w:val="007C3BBB"/>
    <w:rsid w:val="007C60BB"/>
    <w:rsid w:val="007D1C2F"/>
    <w:rsid w:val="007E08B8"/>
    <w:rsid w:val="007E0E44"/>
    <w:rsid w:val="007E588A"/>
    <w:rsid w:val="007F329A"/>
    <w:rsid w:val="007F3B1C"/>
    <w:rsid w:val="007F657F"/>
    <w:rsid w:val="007F75DE"/>
    <w:rsid w:val="0080693E"/>
    <w:rsid w:val="00807102"/>
    <w:rsid w:val="00810605"/>
    <w:rsid w:val="00814FD7"/>
    <w:rsid w:val="008156D9"/>
    <w:rsid w:val="00821A39"/>
    <w:rsid w:val="00824281"/>
    <w:rsid w:val="008243F7"/>
    <w:rsid w:val="0082660B"/>
    <w:rsid w:val="00826E8C"/>
    <w:rsid w:val="00826F56"/>
    <w:rsid w:val="0083250C"/>
    <w:rsid w:val="0083563D"/>
    <w:rsid w:val="008421C0"/>
    <w:rsid w:val="00843418"/>
    <w:rsid w:val="00845825"/>
    <w:rsid w:val="00846CD5"/>
    <w:rsid w:val="0085012D"/>
    <w:rsid w:val="00853966"/>
    <w:rsid w:val="008542A0"/>
    <w:rsid w:val="00855944"/>
    <w:rsid w:val="008565E9"/>
    <w:rsid w:val="00860D43"/>
    <w:rsid w:val="00863E72"/>
    <w:rsid w:val="00864B30"/>
    <w:rsid w:val="00864F80"/>
    <w:rsid w:val="00880DB0"/>
    <w:rsid w:val="00881676"/>
    <w:rsid w:val="008822DB"/>
    <w:rsid w:val="00882500"/>
    <w:rsid w:val="00885243"/>
    <w:rsid w:val="00885AC7"/>
    <w:rsid w:val="0088601A"/>
    <w:rsid w:val="008873BE"/>
    <w:rsid w:val="00890998"/>
    <w:rsid w:val="00897BC6"/>
    <w:rsid w:val="00897FF1"/>
    <w:rsid w:val="008A1844"/>
    <w:rsid w:val="008A6824"/>
    <w:rsid w:val="008B701C"/>
    <w:rsid w:val="008B71D1"/>
    <w:rsid w:val="008C199C"/>
    <w:rsid w:val="008C275A"/>
    <w:rsid w:val="008C2E31"/>
    <w:rsid w:val="008C5A75"/>
    <w:rsid w:val="008C6509"/>
    <w:rsid w:val="008C6E7B"/>
    <w:rsid w:val="008D1CF0"/>
    <w:rsid w:val="008D28F1"/>
    <w:rsid w:val="008D4898"/>
    <w:rsid w:val="008E2741"/>
    <w:rsid w:val="008E4684"/>
    <w:rsid w:val="008E4D85"/>
    <w:rsid w:val="008E5E53"/>
    <w:rsid w:val="008F4B98"/>
    <w:rsid w:val="008F6198"/>
    <w:rsid w:val="008F7B4B"/>
    <w:rsid w:val="00903B51"/>
    <w:rsid w:val="00905422"/>
    <w:rsid w:val="009054B3"/>
    <w:rsid w:val="00905E97"/>
    <w:rsid w:val="0092369C"/>
    <w:rsid w:val="0093188F"/>
    <w:rsid w:val="009345AE"/>
    <w:rsid w:val="00942873"/>
    <w:rsid w:val="00943FA8"/>
    <w:rsid w:val="00947716"/>
    <w:rsid w:val="00947E03"/>
    <w:rsid w:val="009555FC"/>
    <w:rsid w:val="00957738"/>
    <w:rsid w:val="0096100E"/>
    <w:rsid w:val="00961637"/>
    <w:rsid w:val="0096371A"/>
    <w:rsid w:val="00966EB4"/>
    <w:rsid w:val="009679FC"/>
    <w:rsid w:val="00967AD8"/>
    <w:rsid w:val="009702BA"/>
    <w:rsid w:val="009706B4"/>
    <w:rsid w:val="00974788"/>
    <w:rsid w:val="0097649F"/>
    <w:rsid w:val="00977EC5"/>
    <w:rsid w:val="00981409"/>
    <w:rsid w:val="009824FF"/>
    <w:rsid w:val="009826C3"/>
    <w:rsid w:val="0098334F"/>
    <w:rsid w:val="00986153"/>
    <w:rsid w:val="00987D26"/>
    <w:rsid w:val="00991588"/>
    <w:rsid w:val="00992860"/>
    <w:rsid w:val="00993163"/>
    <w:rsid w:val="009932B7"/>
    <w:rsid w:val="009933CD"/>
    <w:rsid w:val="00996A9F"/>
    <w:rsid w:val="009A1731"/>
    <w:rsid w:val="009A752E"/>
    <w:rsid w:val="009B6C2B"/>
    <w:rsid w:val="009B7204"/>
    <w:rsid w:val="009B7AFD"/>
    <w:rsid w:val="009C560A"/>
    <w:rsid w:val="009C5A8F"/>
    <w:rsid w:val="009D05E6"/>
    <w:rsid w:val="009D1519"/>
    <w:rsid w:val="009D16D9"/>
    <w:rsid w:val="009D1ABC"/>
    <w:rsid w:val="009D2982"/>
    <w:rsid w:val="009D458F"/>
    <w:rsid w:val="009D53D6"/>
    <w:rsid w:val="009E1459"/>
    <w:rsid w:val="009E2605"/>
    <w:rsid w:val="009E48F4"/>
    <w:rsid w:val="009E7187"/>
    <w:rsid w:val="009F0088"/>
    <w:rsid w:val="009F6129"/>
    <w:rsid w:val="009F6449"/>
    <w:rsid w:val="009F700A"/>
    <w:rsid w:val="00A01074"/>
    <w:rsid w:val="00A0156C"/>
    <w:rsid w:val="00A02484"/>
    <w:rsid w:val="00A04F32"/>
    <w:rsid w:val="00A05EC4"/>
    <w:rsid w:val="00A06C29"/>
    <w:rsid w:val="00A06F56"/>
    <w:rsid w:val="00A1147B"/>
    <w:rsid w:val="00A116B9"/>
    <w:rsid w:val="00A14213"/>
    <w:rsid w:val="00A14252"/>
    <w:rsid w:val="00A21012"/>
    <w:rsid w:val="00A2367D"/>
    <w:rsid w:val="00A25B21"/>
    <w:rsid w:val="00A301BE"/>
    <w:rsid w:val="00A30913"/>
    <w:rsid w:val="00A31AB0"/>
    <w:rsid w:val="00A32B3B"/>
    <w:rsid w:val="00A35BA5"/>
    <w:rsid w:val="00A36918"/>
    <w:rsid w:val="00A4006A"/>
    <w:rsid w:val="00A435C7"/>
    <w:rsid w:val="00A502E3"/>
    <w:rsid w:val="00A518FD"/>
    <w:rsid w:val="00A605F4"/>
    <w:rsid w:val="00A6162C"/>
    <w:rsid w:val="00A678FB"/>
    <w:rsid w:val="00A67AA5"/>
    <w:rsid w:val="00A67E22"/>
    <w:rsid w:val="00A72B1C"/>
    <w:rsid w:val="00A8273B"/>
    <w:rsid w:val="00A8346C"/>
    <w:rsid w:val="00A84734"/>
    <w:rsid w:val="00A90896"/>
    <w:rsid w:val="00A9110C"/>
    <w:rsid w:val="00A93120"/>
    <w:rsid w:val="00AA1072"/>
    <w:rsid w:val="00AA440E"/>
    <w:rsid w:val="00AA4F3E"/>
    <w:rsid w:val="00AA563E"/>
    <w:rsid w:val="00AA5F6B"/>
    <w:rsid w:val="00AB73AA"/>
    <w:rsid w:val="00AB7D21"/>
    <w:rsid w:val="00AB7E73"/>
    <w:rsid w:val="00AC02DF"/>
    <w:rsid w:val="00AC0940"/>
    <w:rsid w:val="00AC0BC7"/>
    <w:rsid w:val="00AC3394"/>
    <w:rsid w:val="00AD06B0"/>
    <w:rsid w:val="00AD2AE8"/>
    <w:rsid w:val="00AD3563"/>
    <w:rsid w:val="00AD45AF"/>
    <w:rsid w:val="00AD68D8"/>
    <w:rsid w:val="00AE1B60"/>
    <w:rsid w:val="00AE2322"/>
    <w:rsid w:val="00AE3F1F"/>
    <w:rsid w:val="00AE66AF"/>
    <w:rsid w:val="00AF092A"/>
    <w:rsid w:val="00AF260A"/>
    <w:rsid w:val="00AF26BA"/>
    <w:rsid w:val="00AF726B"/>
    <w:rsid w:val="00B031C1"/>
    <w:rsid w:val="00B03A0D"/>
    <w:rsid w:val="00B045D4"/>
    <w:rsid w:val="00B078AA"/>
    <w:rsid w:val="00B10346"/>
    <w:rsid w:val="00B15099"/>
    <w:rsid w:val="00B1525A"/>
    <w:rsid w:val="00B15920"/>
    <w:rsid w:val="00B1737F"/>
    <w:rsid w:val="00B2199B"/>
    <w:rsid w:val="00B24159"/>
    <w:rsid w:val="00B246C9"/>
    <w:rsid w:val="00B27B4E"/>
    <w:rsid w:val="00B3158A"/>
    <w:rsid w:val="00B335EE"/>
    <w:rsid w:val="00B34D57"/>
    <w:rsid w:val="00B40AEC"/>
    <w:rsid w:val="00B42553"/>
    <w:rsid w:val="00B42F80"/>
    <w:rsid w:val="00B45AE6"/>
    <w:rsid w:val="00B46696"/>
    <w:rsid w:val="00B479F5"/>
    <w:rsid w:val="00B50186"/>
    <w:rsid w:val="00B57DB8"/>
    <w:rsid w:val="00B611E9"/>
    <w:rsid w:val="00B61529"/>
    <w:rsid w:val="00B615D0"/>
    <w:rsid w:val="00B63951"/>
    <w:rsid w:val="00B6712E"/>
    <w:rsid w:val="00B71710"/>
    <w:rsid w:val="00B73000"/>
    <w:rsid w:val="00B7307D"/>
    <w:rsid w:val="00B81CAE"/>
    <w:rsid w:val="00B8256F"/>
    <w:rsid w:val="00B83A15"/>
    <w:rsid w:val="00B8459D"/>
    <w:rsid w:val="00B90BF4"/>
    <w:rsid w:val="00B929F3"/>
    <w:rsid w:val="00B93EF8"/>
    <w:rsid w:val="00B96153"/>
    <w:rsid w:val="00B97D5E"/>
    <w:rsid w:val="00BA598E"/>
    <w:rsid w:val="00BB3B5C"/>
    <w:rsid w:val="00BB4A54"/>
    <w:rsid w:val="00BC1A1D"/>
    <w:rsid w:val="00BC4D73"/>
    <w:rsid w:val="00BC6F1A"/>
    <w:rsid w:val="00BC7C25"/>
    <w:rsid w:val="00BD126A"/>
    <w:rsid w:val="00BD178A"/>
    <w:rsid w:val="00BD3068"/>
    <w:rsid w:val="00BD6985"/>
    <w:rsid w:val="00BE0AB2"/>
    <w:rsid w:val="00BE27CA"/>
    <w:rsid w:val="00BF1B41"/>
    <w:rsid w:val="00BF1C26"/>
    <w:rsid w:val="00BF6083"/>
    <w:rsid w:val="00C005E2"/>
    <w:rsid w:val="00C00637"/>
    <w:rsid w:val="00C01E74"/>
    <w:rsid w:val="00C04844"/>
    <w:rsid w:val="00C077D1"/>
    <w:rsid w:val="00C12CD3"/>
    <w:rsid w:val="00C20948"/>
    <w:rsid w:val="00C22C5C"/>
    <w:rsid w:val="00C22D6B"/>
    <w:rsid w:val="00C26BF4"/>
    <w:rsid w:val="00C26D80"/>
    <w:rsid w:val="00C309E1"/>
    <w:rsid w:val="00C3204C"/>
    <w:rsid w:val="00C32E6D"/>
    <w:rsid w:val="00C33A61"/>
    <w:rsid w:val="00C349C5"/>
    <w:rsid w:val="00C34D48"/>
    <w:rsid w:val="00C4031E"/>
    <w:rsid w:val="00C4115D"/>
    <w:rsid w:val="00C418C8"/>
    <w:rsid w:val="00C41D9D"/>
    <w:rsid w:val="00C427CD"/>
    <w:rsid w:val="00C44D75"/>
    <w:rsid w:val="00C47226"/>
    <w:rsid w:val="00C53DAE"/>
    <w:rsid w:val="00C56484"/>
    <w:rsid w:val="00C56E68"/>
    <w:rsid w:val="00C61510"/>
    <w:rsid w:val="00C61BEE"/>
    <w:rsid w:val="00C62417"/>
    <w:rsid w:val="00C6318A"/>
    <w:rsid w:val="00C655FD"/>
    <w:rsid w:val="00C65CA8"/>
    <w:rsid w:val="00C75F95"/>
    <w:rsid w:val="00C77FB6"/>
    <w:rsid w:val="00C81DF6"/>
    <w:rsid w:val="00C82F57"/>
    <w:rsid w:val="00C843C1"/>
    <w:rsid w:val="00C87C9F"/>
    <w:rsid w:val="00C904D9"/>
    <w:rsid w:val="00C945CD"/>
    <w:rsid w:val="00C967AF"/>
    <w:rsid w:val="00CA034A"/>
    <w:rsid w:val="00CA1942"/>
    <w:rsid w:val="00CA2AAB"/>
    <w:rsid w:val="00CA6ADA"/>
    <w:rsid w:val="00CA7AE2"/>
    <w:rsid w:val="00CB03FC"/>
    <w:rsid w:val="00CB076B"/>
    <w:rsid w:val="00CB68B2"/>
    <w:rsid w:val="00CC186D"/>
    <w:rsid w:val="00CC505A"/>
    <w:rsid w:val="00CD3ADB"/>
    <w:rsid w:val="00CD5D1D"/>
    <w:rsid w:val="00CE05B6"/>
    <w:rsid w:val="00CE067D"/>
    <w:rsid w:val="00CE2302"/>
    <w:rsid w:val="00CE2C26"/>
    <w:rsid w:val="00CE6EE5"/>
    <w:rsid w:val="00CE7E01"/>
    <w:rsid w:val="00CF0022"/>
    <w:rsid w:val="00CF2937"/>
    <w:rsid w:val="00CF2FEA"/>
    <w:rsid w:val="00CF3036"/>
    <w:rsid w:val="00CF3556"/>
    <w:rsid w:val="00CF43FE"/>
    <w:rsid w:val="00CF7F45"/>
    <w:rsid w:val="00D0081C"/>
    <w:rsid w:val="00D01301"/>
    <w:rsid w:val="00D04856"/>
    <w:rsid w:val="00D0490C"/>
    <w:rsid w:val="00D05450"/>
    <w:rsid w:val="00D10234"/>
    <w:rsid w:val="00D15AFD"/>
    <w:rsid w:val="00D15E02"/>
    <w:rsid w:val="00D33006"/>
    <w:rsid w:val="00D359A5"/>
    <w:rsid w:val="00D43F0D"/>
    <w:rsid w:val="00D455CA"/>
    <w:rsid w:val="00D45A07"/>
    <w:rsid w:val="00D45A61"/>
    <w:rsid w:val="00D46334"/>
    <w:rsid w:val="00D500E8"/>
    <w:rsid w:val="00D50A55"/>
    <w:rsid w:val="00D51A81"/>
    <w:rsid w:val="00D51C09"/>
    <w:rsid w:val="00D55EED"/>
    <w:rsid w:val="00D6117C"/>
    <w:rsid w:val="00D645AE"/>
    <w:rsid w:val="00D67B6F"/>
    <w:rsid w:val="00D73200"/>
    <w:rsid w:val="00D762CD"/>
    <w:rsid w:val="00D806B2"/>
    <w:rsid w:val="00D80966"/>
    <w:rsid w:val="00D811A2"/>
    <w:rsid w:val="00D84928"/>
    <w:rsid w:val="00D86BBE"/>
    <w:rsid w:val="00D871B0"/>
    <w:rsid w:val="00D9122C"/>
    <w:rsid w:val="00D93117"/>
    <w:rsid w:val="00D95D3F"/>
    <w:rsid w:val="00DA0A00"/>
    <w:rsid w:val="00DA1244"/>
    <w:rsid w:val="00DA2EFE"/>
    <w:rsid w:val="00DA4732"/>
    <w:rsid w:val="00DB2313"/>
    <w:rsid w:val="00DB2D37"/>
    <w:rsid w:val="00DB31C2"/>
    <w:rsid w:val="00DC0DF1"/>
    <w:rsid w:val="00DC42CF"/>
    <w:rsid w:val="00DD144E"/>
    <w:rsid w:val="00DD1B16"/>
    <w:rsid w:val="00DD2DAA"/>
    <w:rsid w:val="00DD3E50"/>
    <w:rsid w:val="00DD438A"/>
    <w:rsid w:val="00DD55AD"/>
    <w:rsid w:val="00DD5783"/>
    <w:rsid w:val="00DE001E"/>
    <w:rsid w:val="00DE1B36"/>
    <w:rsid w:val="00DE1BDB"/>
    <w:rsid w:val="00DE243A"/>
    <w:rsid w:val="00DE3C38"/>
    <w:rsid w:val="00DE620D"/>
    <w:rsid w:val="00DE6CB5"/>
    <w:rsid w:val="00DF0F20"/>
    <w:rsid w:val="00DF5A2E"/>
    <w:rsid w:val="00E00421"/>
    <w:rsid w:val="00E00C46"/>
    <w:rsid w:val="00E050EF"/>
    <w:rsid w:val="00E12326"/>
    <w:rsid w:val="00E12EBD"/>
    <w:rsid w:val="00E14F50"/>
    <w:rsid w:val="00E17E02"/>
    <w:rsid w:val="00E20A7F"/>
    <w:rsid w:val="00E21382"/>
    <w:rsid w:val="00E22F66"/>
    <w:rsid w:val="00E31027"/>
    <w:rsid w:val="00E327F9"/>
    <w:rsid w:val="00E33525"/>
    <w:rsid w:val="00E35A92"/>
    <w:rsid w:val="00E376AE"/>
    <w:rsid w:val="00E43391"/>
    <w:rsid w:val="00E4526B"/>
    <w:rsid w:val="00E461DF"/>
    <w:rsid w:val="00E50B78"/>
    <w:rsid w:val="00E53313"/>
    <w:rsid w:val="00E547B1"/>
    <w:rsid w:val="00E56AF9"/>
    <w:rsid w:val="00E61442"/>
    <w:rsid w:val="00E62120"/>
    <w:rsid w:val="00E636FE"/>
    <w:rsid w:val="00E64E7E"/>
    <w:rsid w:val="00E70FE5"/>
    <w:rsid w:val="00E717C6"/>
    <w:rsid w:val="00E73DE8"/>
    <w:rsid w:val="00E74873"/>
    <w:rsid w:val="00E74C50"/>
    <w:rsid w:val="00E77B4F"/>
    <w:rsid w:val="00E81204"/>
    <w:rsid w:val="00E81DD6"/>
    <w:rsid w:val="00E8366B"/>
    <w:rsid w:val="00E83D09"/>
    <w:rsid w:val="00E842D2"/>
    <w:rsid w:val="00EA3C6E"/>
    <w:rsid w:val="00EB08C9"/>
    <w:rsid w:val="00EB20A4"/>
    <w:rsid w:val="00EB3373"/>
    <w:rsid w:val="00EB7AB9"/>
    <w:rsid w:val="00EC0E91"/>
    <w:rsid w:val="00EC35BC"/>
    <w:rsid w:val="00EC5962"/>
    <w:rsid w:val="00EC5C66"/>
    <w:rsid w:val="00EC6F64"/>
    <w:rsid w:val="00ED2ACF"/>
    <w:rsid w:val="00ED5894"/>
    <w:rsid w:val="00EE1E51"/>
    <w:rsid w:val="00EE1F26"/>
    <w:rsid w:val="00EE23A6"/>
    <w:rsid w:val="00EE2909"/>
    <w:rsid w:val="00EE66B8"/>
    <w:rsid w:val="00EF0F9A"/>
    <w:rsid w:val="00EF3091"/>
    <w:rsid w:val="00EF5A95"/>
    <w:rsid w:val="00F017C2"/>
    <w:rsid w:val="00F01CA6"/>
    <w:rsid w:val="00F02172"/>
    <w:rsid w:val="00F02E92"/>
    <w:rsid w:val="00F03191"/>
    <w:rsid w:val="00F114ED"/>
    <w:rsid w:val="00F15AC7"/>
    <w:rsid w:val="00F16511"/>
    <w:rsid w:val="00F17455"/>
    <w:rsid w:val="00F1795D"/>
    <w:rsid w:val="00F213DC"/>
    <w:rsid w:val="00F2258D"/>
    <w:rsid w:val="00F2288D"/>
    <w:rsid w:val="00F24373"/>
    <w:rsid w:val="00F25DB0"/>
    <w:rsid w:val="00F2674C"/>
    <w:rsid w:val="00F326CD"/>
    <w:rsid w:val="00F32744"/>
    <w:rsid w:val="00F3355C"/>
    <w:rsid w:val="00F36686"/>
    <w:rsid w:val="00F36CD7"/>
    <w:rsid w:val="00F3700E"/>
    <w:rsid w:val="00F37393"/>
    <w:rsid w:val="00F43474"/>
    <w:rsid w:val="00F50291"/>
    <w:rsid w:val="00F54464"/>
    <w:rsid w:val="00F54953"/>
    <w:rsid w:val="00F554B8"/>
    <w:rsid w:val="00F56079"/>
    <w:rsid w:val="00F61188"/>
    <w:rsid w:val="00F61864"/>
    <w:rsid w:val="00F678C4"/>
    <w:rsid w:val="00F73872"/>
    <w:rsid w:val="00F76074"/>
    <w:rsid w:val="00F76586"/>
    <w:rsid w:val="00F81626"/>
    <w:rsid w:val="00F90D4C"/>
    <w:rsid w:val="00F919BB"/>
    <w:rsid w:val="00F92D03"/>
    <w:rsid w:val="00F938DB"/>
    <w:rsid w:val="00FA04B2"/>
    <w:rsid w:val="00FA0FC6"/>
    <w:rsid w:val="00FA6B21"/>
    <w:rsid w:val="00FA7667"/>
    <w:rsid w:val="00FA7C45"/>
    <w:rsid w:val="00FB0AAF"/>
    <w:rsid w:val="00FB3542"/>
    <w:rsid w:val="00FB41DA"/>
    <w:rsid w:val="00FB67F6"/>
    <w:rsid w:val="00FC5D3C"/>
    <w:rsid w:val="00FC6B4B"/>
    <w:rsid w:val="00FD2101"/>
    <w:rsid w:val="00FD3058"/>
    <w:rsid w:val="00FD424C"/>
    <w:rsid w:val="00FD776B"/>
    <w:rsid w:val="00FE0BD6"/>
    <w:rsid w:val="00FE5241"/>
    <w:rsid w:val="00FE526E"/>
    <w:rsid w:val="00FE7D51"/>
    <w:rsid w:val="00FF39D1"/>
    <w:rsid w:val="00FF6988"/>
    <w:rsid w:val="03C530E4"/>
    <w:rsid w:val="091826BB"/>
    <w:rsid w:val="09D83C54"/>
    <w:rsid w:val="0BD3397D"/>
    <w:rsid w:val="16066291"/>
    <w:rsid w:val="17511B66"/>
    <w:rsid w:val="19D55DA0"/>
    <w:rsid w:val="1D0D4FF0"/>
    <w:rsid w:val="20AF0B06"/>
    <w:rsid w:val="216A191B"/>
    <w:rsid w:val="28960870"/>
    <w:rsid w:val="2FA37FBB"/>
    <w:rsid w:val="33DD5172"/>
    <w:rsid w:val="383942B0"/>
    <w:rsid w:val="3D401682"/>
    <w:rsid w:val="447567B5"/>
    <w:rsid w:val="45FF4D33"/>
    <w:rsid w:val="48D1710D"/>
    <w:rsid w:val="4D740947"/>
    <w:rsid w:val="4E89671E"/>
    <w:rsid w:val="582A345B"/>
    <w:rsid w:val="6A831FF9"/>
    <w:rsid w:val="6ABD4629"/>
    <w:rsid w:val="6F0B05A3"/>
    <w:rsid w:val="6FC30103"/>
    <w:rsid w:val="713F52F8"/>
    <w:rsid w:val="738E01C1"/>
    <w:rsid w:val="761347E5"/>
    <w:rsid w:val="791B38CD"/>
    <w:rsid w:val="7BD25B54"/>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2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4"/>
    <w:unhideWhenUsed/>
    <w:qFormat/>
    <w:uiPriority w:val="9"/>
    <w:pPr>
      <w:keepNext/>
      <w:keepLines/>
      <w:spacing w:before="260" w:after="260" w:line="416" w:lineRule="auto"/>
      <w:outlineLvl w:val="2"/>
    </w:pPr>
    <w:rPr>
      <w:b/>
      <w:bCs/>
      <w:sz w:val="32"/>
      <w:szCs w:val="32"/>
    </w:rPr>
  </w:style>
  <w:style w:type="character" w:default="1" w:styleId="13">
    <w:name w:val="Default Paragraph Font"/>
    <w:unhideWhenUsed/>
    <w:qFormat/>
    <w:uiPriority w:val="1"/>
  </w:style>
  <w:style w:type="table" w:default="1" w:styleId="17">
    <w:name w:val="Normal Table"/>
    <w:unhideWhenUsed/>
    <w:qFormat/>
    <w:uiPriority w:val="99"/>
    <w:tblPr>
      <w:tblLayout w:type="fixed"/>
      <w:tblCellMar>
        <w:top w:w="0" w:type="dxa"/>
        <w:left w:w="108" w:type="dxa"/>
        <w:bottom w:w="0" w:type="dxa"/>
        <w:right w:w="108" w:type="dxa"/>
      </w:tblCellMar>
    </w:tblPr>
  </w:style>
  <w:style w:type="paragraph" w:styleId="5">
    <w:name w:val="annotation subject"/>
    <w:basedOn w:val="6"/>
    <w:next w:val="6"/>
    <w:link w:val="29"/>
    <w:unhideWhenUsed/>
    <w:qFormat/>
    <w:uiPriority w:val="99"/>
    <w:rPr>
      <w:b/>
      <w:bCs/>
    </w:rPr>
  </w:style>
  <w:style w:type="paragraph" w:styleId="6">
    <w:name w:val="annotation text"/>
    <w:basedOn w:val="1"/>
    <w:link w:val="28"/>
    <w:unhideWhenUsed/>
    <w:qFormat/>
    <w:uiPriority w:val="99"/>
    <w:pPr>
      <w:jc w:val="left"/>
    </w:pPr>
  </w:style>
  <w:style w:type="paragraph" w:styleId="7">
    <w:name w:val="Body Text"/>
    <w:basedOn w:val="1"/>
    <w:link w:val="23"/>
    <w:qFormat/>
    <w:uiPriority w:val="0"/>
    <w:pPr>
      <w:spacing w:after="120"/>
    </w:pPr>
  </w:style>
  <w:style w:type="paragraph" w:styleId="8">
    <w:name w:val="Balloon Text"/>
    <w:basedOn w:val="1"/>
    <w:link w:val="30"/>
    <w:unhideWhenUsed/>
    <w:qFormat/>
    <w:uiPriority w:val="99"/>
    <w:rPr>
      <w:sz w:val="18"/>
      <w:szCs w:val="18"/>
    </w:rPr>
  </w:style>
  <w:style w:type="paragraph" w:styleId="9">
    <w:name w:val="footer"/>
    <w:basedOn w:val="1"/>
    <w:link w:val="27"/>
    <w:unhideWhenUsed/>
    <w:qFormat/>
    <w:uiPriority w:val="99"/>
    <w:pPr>
      <w:tabs>
        <w:tab w:val="center" w:pos="4153"/>
        <w:tab w:val="right" w:pos="8306"/>
      </w:tabs>
      <w:snapToGrid w:val="0"/>
      <w:jc w:val="left"/>
    </w:pPr>
    <w:rPr>
      <w:sz w:val="18"/>
      <w:szCs w:val="18"/>
    </w:rPr>
  </w:style>
  <w:style w:type="paragraph" w:styleId="10">
    <w:name w:val="header"/>
    <w:basedOn w:val="1"/>
    <w:link w:val="26"/>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footnote text"/>
    <w:basedOn w:val="1"/>
    <w:link w:val="20"/>
    <w:qFormat/>
    <w:uiPriority w:val="0"/>
    <w:pPr>
      <w:snapToGrid w:val="0"/>
      <w:jc w:val="left"/>
    </w:pPr>
    <w:rPr>
      <w:sz w:val="18"/>
      <w:szCs w:val="18"/>
    </w:rPr>
  </w:style>
  <w:style w:type="paragraph" w:styleId="12">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14">
    <w:name w:val="Strong"/>
    <w:basedOn w:val="13"/>
    <w:qFormat/>
    <w:uiPriority w:val="22"/>
    <w:rPr>
      <w:b/>
      <w:bCs/>
    </w:rPr>
  </w:style>
  <w:style w:type="character" w:styleId="15">
    <w:name w:val="annotation reference"/>
    <w:basedOn w:val="13"/>
    <w:unhideWhenUsed/>
    <w:qFormat/>
    <w:uiPriority w:val="99"/>
    <w:rPr>
      <w:sz w:val="21"/>
      <w:szCs w:val="21"/>
    </w:rPr>
  </w:style>
  <w:style w:type="character" w:styleId="16">
    <w:name w:val="footnote reference"/>
    <w:qFormat/>
    <w:uiPriority w:val="0"/>
    <w:rPr>
      <w:vertAlign w:val="superscript"/>
    </w:rPr>
  </w:style>
  <w:style w:type="character" w:customStyle="1" w:styleId="18">
    <w:name w:val="标题 1 Char"/>
    <w:basedOn w:val="13"/>
    <w:link w:val="2"/>
    <w:qFormat/>
    <w:uiPriority w:val="0"/>
    <w:rPr>
      <w:rFonts w:ascii="Times New Roman" w:hAnsi="Times New Roman" w:eastAsia="宋体" w:cs="Times New Roman"/>
      <w:b/>
      <w:bCs/>
      <w:kern w:val="44"/>
      <w:sz w:val="44"/>
      <w:szCs w:val="44"/>
    </w:rPr>
  </w:style>
  <w:style w:type="paragraph" w:customStyle="1" w:styleId="19">
    <w:name w:val="样式 标题 2 + Times New Roman 四号 非加粗 段前: 5 磅 段后: 0 磅 行距: 固定值 20..."/>
    <w:basedOn w:val="3"/>
    <w:qFormat/>
    <w:uiPriority w:val="0"/>
    <w:pPr>
      <w:spacing w:before="100" w:after="0" w:line="400" w:lineRule="exact"/>
    </w:pPr>
    <w:rPr>
      <w:rFonts w:ascii="Times New Roman" w:hAnsi="Times New Roman" w:eastAsia="黑体" w:cs="宋体"/>
      <w:b w:val="0"/>
      <w:bCs w:val="0"/>
      <w:sz w:val="28"/>
      <w:szCs w:val="20"/>
    </w:rPr>
  </w:style>
  <w:style w:type="character" w:customStyle="1" w:styleId="20">
    <w:name w:val="脚注文本 Char"/>
    <w:basedOn w:val="13"/>
    <w:link w:val="11"/>
    <w:qFormat/>
    <w:uiPriority w:val="0"/>
    <w:rPr>
      <w:rFonts w:ascii="Times New Roman" w:hAnsi="Times New Roman" w:eastAsia="宋体" w:cs="Times New Roman"/>
      <w:sz w:val="18"/>
      <w:szCs w:val="18"/>
    </w:rPr>
  </w:style>
  <w:style w:type="character" w:customStyle="1" w:styleId="21">
    <w:name w:val="标题 2 Char"/>
    <w:basedOn w:val="13"/>
    <w:link w:val="3"/>
    <w:semiHidden/>
    <w:qFormat/>
    <w:uiPriority w:val="9"/>
    <w:rPr>
      <w:rFonts w:asciiTheme="majorHAnsi" w:hAnsiTheme="majorHAnsi" w:eastAsiaTheme="majorEastAsia" w:cstheme="majorBidi"/>
      <w:b/>
      <w:bCs/>
      <w:sz w:val="32"/>
      <w:szCs w:val="32"/>
    </w:rPr>
  </w:style>
  <w:style w:type="paragraph" w:customStyle="1" w:styleId="22">
    <w:name w:val="普通 (Web)"/>
    <w:qFormat/>
    <w:uiPriority w:val="0"/>
    <w:pPr>
      <w:spacing w:before="100" w:after="100"/>
    </w:pPr>
    <w:rPr>
      <w:rFonts w:ascii="宋体" w:hAnsi="Times New Roman" w:eastAsia="宋体" w:cs="Times New Roman"/>
      <w:kern w:val="0"/>
      <w:sz w:val="24"/>
      <w:szCs w:val="20"/>
      <w:lang w:val="en-US" w:eastAsia="zh-CN" w:bidi="ar-SA"/>
    </w:rPr>
  </w:style>
  <w:style w:type="character" w:customStyle="1" w:styleId="23">
    <w:name w:val="正文文本 Char"/>
    <w:basedOn w:val="13"/>
    <w:link w:val="7"/>
    <w:qFormat/>
    <w:uiPriority w:val="0"/>
    <w:rPr>
      <w:rFonts w:ascii="Times New Roman" w:hAnsi="Times New Roman" w:eastAsia="宋体" w:cs="Times New Roman"/>
      <w:szCs w:val="24"/>
    </w:rPr>
  </w:style>
  <w:style w:type="paragraph" w:customStyle="1" w:styleId="24">
    <w:name w:val="List Paragraph"/>
    <w:qFormat/>
    <w:uiPriority w:val="34"/>
    <w:pPr>
      <w:widowControl w:val="0"/>
      <w:ind w:firstLine="200" w:firstLineChars="200"/>
      <w:jc w:val="both"/>
    </w:pPr>
    <w:rPr>
      <w:rFonts w:ascii="Calibri" w:hAnsi="Calibri" w:eastAsia="宋体" w:cs="Times New Roman"/>
      <w:kern w:val="2"/>
      <w:sz w:val="21"/>
      <w:szCs w:val="22"/>
      <w:lang w:val="en-US" w:eastAsia="zh-CN" w:bidi="ar-SA"/>
    </w:rPr>
  </w:style>
  <w:style w:type="paragraph" w:customStyle="1" w:styleId="25">
    <w:name w:val="样式"/>
    <w:qFormat/>
    <w:uiPriority w:val="0"/>
    <w:pPr>
      <w:widowControl w:val="0"/>
      <w:adjustRightInd w:val="0"/>
      <w:spacing w:line="360" w:lineRule="auto"/>
      <w:ind w:firstLine="482"/>
      <w:jc w:val="both"/>
      <w:textAlignment w:val="baseline"/>
    </w:pPr>
    <w:rPr>
      <w:rFonts w:ascii="Times New Roman" w:hAnsi="Times New Roman" w:eastAsia="宋体" w:cs="Times New Roman"/>
      <w:kern w:val="0"/>
      <w:sz w:val="24"/>
      <w:szCs w:val="20"/>
      <w:lang w:val="en-US" w:eastAsia="zh-CN" w:bidi="ar-SA"/>
    </w:rPr>
  </w:style>
  <w:style w:type="character" w:customStyle="1" w:styleId="26">
    <w:name w:val="页眉 Char"/>
    <w:basedOn w:val="13"/>
    <w:link w:val="10"/>
    <w:qFormat/>
    <w:uiPriority w:val="99"/>
    <w:rPr>
      <w:rFonts w:ascii="Times New Roman" w:hAnsi="Times New Roman" w:eastAsia="宋体" w:cs="Times New Roman"/>
      <w:sz w:val="18"/>
      <w:szCs w:val="18"/>
    </w:rPr>
  </w:style>
  <w:style w:type="character" w:customStyle="1" w:styleId="27">
    <w:name w:val="页脚 Char"/>
    <w:basedOn w:val="13"/>
    <w:link w:val="9"/>
    <w:qFormat/>
    <w:uiPriority w:val="99"/>
    <w:rPr>
      <w:rFonts w:ascii="Times New Roman" w:hAnsi="Times New Roman" w:eastAsia="宋体" w:cs="Times New Roman"/>
      <w:sz w:val="18"/>
      <w:szCs w:val="18"/>
    </w:rPr>
  </w:style>
  <w:style w:type="character" w:customStyle="1" w:styleId="28">
    <w:name w:val="批注文字 Char"/>
    <w:basedOn w:val="13"/>
    <w:link w:val="6"/>
    <w:semiHidden/>
    <w:qFormat/>
    <w:uiPriority w:val="99"/>
    <w:rPr>
      <w:rFonts w:ascii="Times New Roman" w:hAnsi="Times New Roman" w:eastAsia="宋体" w:cs="Times New Roman"/>
      <w:szCs w:val="24"/>
    </w:rPr>
  </w:style>
  <w:style w:type="character" w:customStyle="1" w:styleId="29">
    <w:name w:val="批注主题 Char"/>
    <w:basedOn w:val="28"/>
    <w:link w:val="5"/>
    <w:semiHidden/>
    <w:qFormat/>
    <w:uiPriority w:val="99"/>
    <w:rPr>
      <w:rFonts w:ascii="Times New Roman" w:hAnsi="Times New Roman" w:eastAsia="宋体" w:cs="Times New Roman"/>
      <w:b/>
      <w:bCs/>
      <w:szCs w:val="24"/>
    </w:rPr>
  </w:style>
  <w:style w:type="character" w:customStyle="1" w:styleId="30">
    <w:name w:val="批注框文本 Char"/>
    <w:basedOn w:val="13"/>
    <w:link w:val="8"/>
    <w:semiHidden/>
    <w:qFormat/>
    <w:uiPriority w:val="99"/>
    <w:rPr>
      <w:rFonts w:ascii="Times New Roman" w:hAnsi="Times New Roman" w:eastAsia="宋体" w:cs="Times New Roman"/>
      <w:sz w:val="18"/>
      <w:szCs w:val="18"/>
    </w:rPr>
  </w:style>
  <w:style w:type="paragraph" w:customStyle="1" w:styleId="31">
    <w:name w:val="Revision"/>
    <w:hidden/>
    <w:semiHidden/>
    <w:qFormat/>
    <w:uiPriority w:val="99"/>
    <w:rPr>
      <w:rFonts w:ascii="Times New Roman" w:hAnsi="Times New Roman" w:eastAsia="宋体" w:cs="Times New Roman"/>
      <w:kern w:val="2"/>
      <w:sz w:val="21"/>
      <w:szCs w:val="24"/>
      <w:lang w:val="en-US" w:eastAsia="zh-CN" w:bidi="ar-SA"/>
    </w:rPr>
  </w:style>
  <w:style w:type="paragraph" w:customStyle="1" w:styleId="32">
    <w:name w:val="列出段落1"/>
    <w:qFormat/>
    <w:uiPriority w:val="0"/>
    <w:pPr>
      <w:widowControl w:val="0"/>
      <w:ind w:firstLine="200" w:firstLineChars="200"/>
      <w:jc w:val="both"/>
    </w:pPr>
    <w:rPr>
      <w:rFonts w:ascii="Calibri" w:hAnsi="Calibri" w:eastAsia="宋体" w:cs="Times New Roman"/>
      <w:kern w:val="2"/>
      <w:sz w:val="21"/>
      <w:szCs w:val="22"/>
      <w:lang w:val="en-US" w:eastAsia="zh-CN" w:bidi="ar-SA"/>
    </w:rPr>
  </w:style>
  <w:style w:type="character" w:customStyle="1" w:styleId="33">
    <w:name w:val="apple-converted-space"/>
    <w:basedOn w:val="13"/>
    <w:qFormat/>
    <w:uiPriority w:val="0"/>
  </w:style>
  <w:style w:type="character" w:customStyle="1" w:styleId="34">
    <w:name w:val="标题 3 Char"/>
    <w:basedOn w:val="13"/>
    <w:link w:val="4"/>
    <w:semiHidden/>
    <w:qFormat/>
    <w:uiPriority w:val="9"/>
    <w:rPr>
      <w:rFonts w:ascii="Times New Roman" w:hAnsi="Times New Roman" w:eastAsia="宋体" w:cs="Times New Roman"/>
      <w:b/>
      <w:bCs/>
      <w:sz w:val="32"/>
      <w:szCs w:val="32"/>
    </w:rPr>
  </w:style>
  <w:style w:type="paragraph" w:customStyle="1" w:styleId="35">
    <w:name w:val="reader-word-layer"/>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025A4E-40F2-4F65-91B2-70CEF5C0C8D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8</Pages>
  <Words>584</Words>
  <Characters>3329</Characters>
  <Lines>27</Lines>
  <Paragraphs>7</Paragraphs>
  <ScaleCrop>false</ScaleCrop>
  <LinksUpToDate>false</LinksUpToDate>
  <CharactersWithSpaces>3906</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2017-02-03T01:52:00Z</dcterms:created>
  <dc:creator>qzy3472</dc:creator>
  <cp:lastModifiedBy>马力</cp:lastModifiedBy>
  <dcterms:modified xsi:type="dcterms:W3CDTF">2017-08-29T07:00:19Z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2052-10.8.0.6018</vt:lpwstr>
  </property>
</Properties>
</file>